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105" w:rsidRPr="00F05105" w:rsidRDefault="00F05105" w:rsidP="00F05105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05105">
        <w:rPr>
          <w:rFonts w:ascii="Times New Roman" w:hAnsi="Times New Roman" w:cs="Times New Roman"/>
          <w:sz w:val="24"/>
          <w:szCs w:val="24"/>
        </w:rPr>
        <w:br/>
      </w:r>
      <w:r w:rsidRPr="00F0510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GIP CARIF OREF (976)</w:t>
      </w:r>
      <w:r w:rsidRPr="00F051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510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Site de la Cité des Métiers</w:t>
      </w:r>
      <w:r w:rsidRPr="00F05105">
        <w:rPr>
          <w:rFonts w:ascii="Times New Roman" w:hAnsi="Times New Roman" w:cs="Times New Roman"/>
          <w:sz w:val="24"/>
          <w:szCs w:val="24"/>
        </w:rPr>
        <w:br/>
      </w:r>
      <w:r w:rsidRPr="00F0510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97600 Mamoudzou</w:t>
      </w:r>
      <w:r w:rsidRPr="00F05105">
        <w:rPr>
          <w:rFonts w:ascii="Times New Roman" w:hAnsi="Times New Roman" w:cs="Times New Roman"/>
          <w:sz w:val="24"/>
          <w:szCs w:val="24"/>
        </w:rPr>
        <w:br/>
      </w:r>
      <w:r w:rsidRPr="00F0510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AVIS D'ATTRIBUTION</w:t>
      </w:r>
      <w:r w:rsidRPr="00F051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510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SERVICES</w:t>
      </w:r>
      <w:r w:rsidRPr="00F051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510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DIRECTIVE 2014/24/UE</w:t>
      </w:r>
    </w:p>
    <w:p w:rsidR="00F05105" w:rsidRDefault="00F05105" w:rsidP="00F05105">
      <w:pPr>
        <w:rPr>
          <w:rStyle w:val="fontstyle21"/>
          <w:rFonts w:ascii="Times New Roman" w:hAnsi="Times New Roman" w:cs="Times New Roman"/>
          <w:color w:val="9A1E4A"/>
        </w:rPr>
      </w:pP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9A1E4A"/>
        </w:rPr>
        <w:t>Section I : Pouvoir adjudicateur</w:t>
      </w:r>
      <w:r w:rsidRPr="00F0510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I.1) NOM ET ADRESSES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GIP CARIF OREF (976), Numéro national d'identification : 13002206400013, Site de la Cité des Métiers, 97600 Mamoudzou, FRANCE.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Tél. : +33 269643846. Courriel : e.chanfi-plia@gipco976.fr. Code NUTS : FRY50.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Adresse(s) internet :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Adresse principale</w:t>
      </w:r>
      <w:proofErr w:type="gramStart"/>
      <w:r w:rsidRPr="00F05105">
        <w:rPr>
          <w:rStyle w:val="fontstyle01"/>
          <w:rFonts w:ascii="Times New Roman" w:hAnsi="Times New Roman" w:cs="Times New Roman"/>
          <w:color w:val="000000"/>
        </w:rPr>
        <w:t xml:space="preserve"> :https://reseau.intercariforef.org/</w:t>
      </w:r>
      <w:proofErr w:type="spellStart"/>
      <w:r w:rsidRPr="00F05105">
        <w:rPr>
          <w:rStyle w:val="fontstyle01"/>
          <w:rFonts w:ascii="Times New Roman" w:hAnsi="Times New Roman" w:cs="Times New Roman"/>
          <w:color w:val="000000"/>
        </w:rPr>
        <w:t>carif-oref</w:t>
      </w:r>
      <w:proofErr w:type="spellEnd"/>
      <w:r w:rsidRPr="00F05105">
        <w:rPr>
          <w:rStyle w:val="fontstyle01"/>
          <w:rFonts w:ascii="Times New Roman" w:hAnsi="Times New Roman" w:cs="Times New Roman"/>
          <w:color w:val="000000"/>
        </w:rPr>
        <w:t>/</w:t>
      </w:r>
      <w:proofErr w:type="spellStart"/>
      <w:r w:rsidRPr="00F05105">
        <w:rPr>
          <w:rStyle w:val="fontstyle01"/>
          <w:rFonts w:ascii="Times New Roman" w:hAnsi="Times New Roman" w:cs="Times New Roman"/>
          <w:color w:val="000000"/>
        </w:rPr>
        <w:t>carif-oref-mayotte</w:t>
      </w:r>
      <w:proofErr w:type="spellEnd"/>
      <w:proofErr w:type="gramEnd"/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Adresse du profil d'acheteur : http://www.marches-securises.fr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I.2) PROCÉDURE CONJOINTE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I.4) TYPE DE POUVOIR ADJUDICATEUR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Organisme de droit public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I.5) ACTIVITÉ PRINCIPALE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Autre(s) activité(s) : Formation</w:t>
      </w:r>
    </w:p>
    <w:p w:rsidR="00F05105" w:rsidRDefault="00F05105" w:rsidP="00F05105">
      <w:pPr>
        <w:rPr>
          <w:rStyle w:val="fontstyle21"/>
          <w:rFonts w:ascii="Times New Roman" w:hAnsi="Times New Roman" w:cs="Times New Roman"/>
          <w:color w:val="9A1E4A"/>
        </w:rPr>
      </w:pPr>
      <w:r w:rsidRPr="00F05105">
        <w:rPr>
          <w:rStyle w:val="fontstyle21"/>
          <w:rFonts w:ascii="Times New Roman" w:hAnsi="Times New Roman" w:cs="Times New Roman"/>
          <w:color w:val="9A1E4A"/>
        </w:rPr>
        <w:t>Section II : Objet</w:t>
      </w:r>
      <w:r w:rsidRPr="00F0510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II.1) ÉTENDUE DU MARCHÉ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II.1.1) Intitulé : </w:t>
      </w:r>
      <w:r w:rsidRPr="00F05105">
        <w:rPr>
          <w:rStyle w:val="fontstyle01"/>
          <w:rFonts w:ascii="Times New Roman" w:hAnsi="Times New Roman" w:cs="Times New Roman"/>
          <w:color w:val="000000"/>
        </w:rPr>
        <w:t>Marché de communication Du GIP CARIF OREF DE MAYOTTE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II.1.2) Code CPV principal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79416000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II.1.3) Type de marché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Services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II.1.4) Description succincte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Ce marché est un marché de prestations de services pour la Communication du GIP CARIF OREF DE MAYOTTE notamment la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F05105">
        <w:rPr>
          <w:rStyle w:val="fontstyle01"/>
          <w:rFonts w:ascii="Times New Roman" w:hAnsi="Times New Roman" w:cs="Times New Roman"/>
          <w:color w:val="000000"/>
        </w:rPr>
        <w:t>communication opérationnelle, l'éditions et impression des supports de communication Le marché couvre le périmètre géographique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F05105">
        <w:rPr>
          <w:rStyle w:val="fontstyle01"/>
          <w:rFonts w:ascii="Times New Roman" w:hAnsi="Times New Roman" w:cs="Times New Roman"/>
          <w:color w:val="000000"/>
        </w:rPr>
        <w:t>suivant : Mayotte, Le marché est un accord-cadre mixte mono attributaire en son lot 1 et en ses lot s 2 et 3 et multi attributaire au sens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F05105">
        <w:rPr>
          <w:rStyle w:val="fontstyle01"/>
          <w:rFonts w:ascii="Times New Roman" w:hAnsi="Times New Roman" w:cs="Times New Roman"/>
          <w:color w:val="000000"/>
        </w:rPr>
        <w:t>du code de la commande publique. Il s'agit d'un marché exécuté à bon de commande ainsi qu'a marché subséquents en fonction des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F05105">
        <w:rPr>
          <w:rStyle w:val="fontstyle01"/>
          <w:rFonts w:ascii="Times New Roman" w:hAnsi="Times New Roman" w:cs="Times New Roman"/>
          <w:color w:val="000000"/>
        </w:rPr>
        <w:t xml:space="preserve">besoins du pouvoir adjudicateur pour les 3 lots. A titre </w:t>
      </w:r>
      <w:proofErr w:type="gramStart"/>
      <w:r w:rsidRPr="00F05105">
        <w:rPr>
          <w:rStyle w:val="fontstyle01"/>
          <w:rFonts w:ascii="Times New Roman" w:hAnsi="Times New Roman" w:cs="Times New Roman"/>
          <w:color w:val="000000"/>
        </w:rPr>
        <w:t>indicatif ,</w:t>
      </w:r>
      <w:proofErr w:type="gramEnd"/>
      <w:r w:rsidRPr="00F05105">
        <w:rPr>
          <w:rStyle w:val="fontstyle01"/>
          <w:rFonts w:ascii="Times New Roman" w:hAnsi="Times New Roman" w:cs="Times New Roman"/>
          <w:color w:val="000000"/>
        </w:rPr>
        <w:t xml:space="preserve"> le budget annuel consacré à ce segment est passé sans montant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F05105">
        <w:rPr>
          <w:rStyle w:val="fontstyle01"/>
          <w:rFonts w:ascii="Times New Roman" w:hAnsi="Times New Roman" w:cs="Times New Roman"/>
          <w:color w:val="000000"/>
        </w:rPr>
        <w:t>minimum ni montant maximum. Il sera réparti sur la zone couverte par le marché par période contractuelle.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II.1.6) Informations sur les lots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Division en lots : </w:t>
      </w:r>
      <w:r w:rsidRPr="00F05105">
        <w:rPr>
          <w:rStyle w:val="fontstyle01"/>
          <w:rFonts w:ascii="Times New Roman" w:hAnsi="Times New Roman" w:cs="Times New Roman"/>
          <w:color w:val="000000"/>
        </w:rPr>
        <w:t>oui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II.1.7) Valeur totale du marché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4100000 euros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II.2) DESCRIPTION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LOT N° 1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II.2.1) Intitulé : </w:t>
      </w:r>
      <w:r w:rsidRPr="00F05105">
        <w:rPr>
          <w:rStyle w:val="fontstyle01"/>
          <w:rFonts w:ascii="Times New Roman" w:hAnsi="Times New Roman" w:cs="Times New Roman"/>
          <w:color w:val="000000"/>
        </w:rPr>
        <w:t>COMMUNICATION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II.2.2) Code(s) CPV additionnel(s)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79341100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II.2.3) Lieu d'exécution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Code NUTS : FRY50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II.2.4) Description des prestations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La création et la production de supports de communication efficients, innovants et interactifs afin de valoriser l’image actuelle de la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F05105">
        <w:rPr>
          <w:rStyle w:val="fontstyle01"/>
          <w:rFonts w:ascii="Times New Roman" w:hAnsi="Times New Roman" w:cs="Times New Roman"/>
          <w:color w:val="000000"/>
        </w:rPr>
        <w:t>formation professionnelle sur le territoire, ses résultats et son impact en matière de montée en compétences et d’insertion dans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F05105">
        <w:rPr>
          <w:rStyle w:val="fontstyle01"/>
          <w:rFonts w:ascii="Times New Roman" w:hAnsi="Times New Roman" w:cs="Times New Roman"/>
          <w:color w:val="000000"/>
        </w:rPr>
        <w:t>l’emploi des publics cibles.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II.2.5) Critères d'attribution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Prix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II.2.11) Informations sur les options</w:t>
      </w:r>
      <w:r w:rsidRPr="00F05105">
        <w:rPr>
          <w:rFonts w:ascii="Times New Roman" w:hAnsi="Times New Roman" w:cs="Times New Roman"/>
          <w:color w:val="CCCCCC"/>
          <w:sz w:val="18"/>
          <w:szCs w:val="18"/>
        </w:rPr>
        <w:br/>
      </w:r>
      <w:proofErr w:type="spellStart"/>
      <w:r w:rsidRPr="00F05105">
        <w:rPr>
          <w:rStyle w:val="fontstyle21"/>
          <w:rFonts w:ascii="Times New Roman" w:hAnsi="Times New Roman" w:cs="Times New Roman"/>
        </w:rPr>
        <w:lastRenderedPageBreak/>
        <w:t>Options</w:t>
      </w:r>
      <w:proofErr w:type="spellEnd"/>
      <w:r w:rsidRPr="00F05105">
        <w:rPr>
          <w:rStyle w:val="fontstyle21"/>
          <w:rFonts w:ascii="Times New Roman" w:hAnsi="Times New Roman" w:cs="Times New Roman"/>
        </w:rPr>
        <w:t xml:space="preserve"> : </w:t>
      </w:r>
      <w:r w:rsidRPr="00F05105">
        <w:rPr>
          <w:rStyle w:val="fontstyle01"/>
          <w:rFonts w:ascii="Times New Roman" w:hAnsi="Times New Roman" w:cs="Times New Roman"/>
          <w:color w:val="000000"/>
        </w:rPr>
        <w:t>non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F05105">
        <w:rPr>
          <w:rStyle w:val="fontstyle01"/>
          <w:rFonts w:ascii="Times New Roman" w:hAnsi="Times New Roman" w:cs="Times New Roman"/>
          <w:color w:val="000000"/>
        </w:rPr>
        <w:t>oui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Identification du projet : </w:t>
      </w:r>
      <w:r w:rsidRPr="00F05105">
        <w:rPr>
          <w:rStyle w:val="fontstyle01"/>
          <w:rFonts w:ascii="Times New Roman" w:hAnsi="Times New Roman" w:cs="Times New Roman"/>
          <w:color w:val="000000"/>
        </w:rPr>
        <w:t>Fonds européen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FEDER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II.2.14) Informations complémentaires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LOT N° 2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II.2.1) Intitulé : </w:t>
      </w:r>
      <w:r w:rsidRPr="00F05105">
        <w:rPr>
          <w:rStyle w:val="fontstyle01"/>
          <w:rFonts w:ascii="Times New Roman" w:hAnsi="Times New Roman" w:cs="Times New Roman"/>
          <w:color w:val="000000"/>
        </w:rPr>
        <w:t>EVENEMENTIELS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II.2.2) Code(s) CPV additionnel(s)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79416000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II.2.3) Lieu d'exécution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Code NUTS : FRY50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II.2.4) Description des prestations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La création, gestion, invitation, gestion organisationnelle, logistique, clôture et remise en état et rapport des événementiels demandés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II.2.5) Critères d'attribution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Prix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II.2.11) Informations sur les options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proofErr w:type="spellStart"/>
      <w:r w:rsidRPr="00F05105">
        <w:rPr>
          <w:rStyle w:val="fontstyle21"/>
          <w:rFonts w:ascii="Times New Roman" w:hAnsi="Times New Roman" w:cs="Times New Roman"/>
        </w:rPr>
        <w:t>Options</w:t>
      </w:r>
      <w:proofErr w:type="spellEnd"/>
      <w:r w:rsidRPr="00F05105">
        <w:rPr>
          <w:rStyle w:val="fontstyle21"/>
          <w:rFonts w:ascii="Times New Roman" w:hAnsi="Times New Roman" w:cs="Times New Roman"/>
        </w:rPr>
        <w:t xml:space="preserve"> : </w:t>
      </w:r>
      <w:r w:rsidRPr="00F05105">
        <w:rPr>
          <w:rStyle w:val="fontstyle01"/>
          <w:rFonts w:ascii="Times New Roman" w:hAnsi="Times New Roman" w:cs="Times New Roman"/>
          <w:color w:val="000000"/>
        </w:rPr>
        <w:t>non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F05105">
        <w:rPr>
          <w:rStyle w:val="fontstyle01"/>
          <w:rFonts w:ascii="Times New Roman" w:hAnsi="Times New Roman" w:cs="Times New Roman"/>
          <w:color w:val="000000"/>
        </w:rPr>
        <w:t>oui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Identification du projet : </w:t>
      </w:r>
      <w:r w:rsidRPr="00F05105">
        <w:rPr>
          <w:rStyle w:val="fontstyle01"/>
          <w:rFonts w:ascii="Times New Roman" w:hAnsi="Times New Roman" w:cs="Times New Roman"/>
          <w:color w:val="000000"/>
        </w:rPr>
        <w:t>Fonds européen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FEDER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II.2.14) Informations complémentaires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LOT N° 3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II.2.1) Intitulé : </w:t>
      </w:r>
      <w:r w:rsidRPr="00F05105">
        <w:rPr>
          <w:rStyle w:val="fontstyle01"/>
          <w:rFonts w:ascii="Times New Roman" w:hAnsi="Times New Roman" w:cs="Times New Roman"/>
          <w:color w:val="000000"/>
        </w:rPr>
        <w:t>IMPRESSIONS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II.2.2) Code(s) CPV additionnel(s)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79416000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II.2.3) Lieu d'exécution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Code NUTS : FRY50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II.2.4) Description des prestations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 xml:space="preserve">L’impression des créations émises par le GIP CARIF OREF DE MAYOTTE via le lot 1 ou autres émanant de la communication du </w:t>
      </w:r>
      <w:proofErr w:type="spellStart"/>
      <w:r w:rsidRPr="00F05105">
        <w:rPr>
          <w:rStyle w:val="fontstyle01"/>
          <w:rFonts w:ascii="Times New Roman" w:hAnsi="Times New Roman" w:cs="Times New Roman"/>
          <w:color w:val="000000"/>
        </w:rPr>
        <w:t>gip</w:t>
      </w:r>
      <w:proofErr w:type="spellEnd"/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F05105">
        <w:rPr>
          <w:rStyle w:val="fontstyle01"/>
          <w:rFonts w:ascii="Times New Roman" w:hAnsi="Times New Roman" w:cs="Times New Roman"/>
          <w:color w:val="000000"/>
        </w:rPr>
        <w:t>ou d’un partenaire sur des papiers de qualité, dans les délais impartis.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II.2.5) Critères d'attribution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Prix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II.2.11) Informations sur les options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proofErr w:type="spellStart"/>
      <w:r w:rsidRPr="00F05105">
        <w:rPr>
          <w:rStyle w:val="fontstyle21"/>
          <w:rFonts w:ascii="Times New Roman" w:hAnsi="Times New Roman" w:cs="Times New Roman"/>
        </w:rPr>
        <w:t>Options</w:t>
      </w:r>
      <w:proofErr w:type="spellEnd"/>
      <w:r w:rsidRPr="00F05105">
        <w:rPr>
          <w:rStyle w:val="fontstyle21"/>
          <w:rFonts w:ascii="Times New Roman" w:hAnsi="Times New Roman" w:cs="Times New Roman"/>
        </w:rPr>
        <w:t xml:space="preserve"> : </w:t>
      </w:r>
      <w:r w:rsidRPr="00F05105">
        <w:rPr>
          <w:rStyle w:val="fontstyle01"/>
          <w:rFonts w:ascii="Times New Roman" w:hAnsi="Times New Roman" w:cs="Times New Roman"/>
          <w:color w:val="000000"/>
        </w:rPr>
        <w:t>non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F05105">
        <w:rPr>
          <w:rStyle w:val="fontstyle01"/>
          <w:rFonts w:ascii="Times New Roman" w:hAnsi="Times New Roman" w:cs="Times New Roman"/>
          <w:color w:val="000000"/>
        </w:rPr>
        <w:t>oui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Identification du projet : </w:t>
      </w:r>
      <w:r w:rsidRPr="00F05105">
        <w:rPr>
          <w:rStyle w:val="fontstyle01"/>
          <w:rFonts w:ascii="Times New Roman" w:hAnsi="Times New Roman" w:cs="Times New Roman"/>
          <w:color w:val="000000"/>
        </w:rPr>
        <w:t>Fonds européen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FEDER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II.2.14) Informations complémentaires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9A1E4A"/>
        </w:rPr>
        <w:t>Section IV : Procédure</w:t>
      </w:r>
      <w:r w:rsidRPr="00F0510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IV.1) DESCRIPTION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IV.1.1) Type de procédure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proofErr w:type="spellStart"/>
      <w:r w:rsidRPr="00F05105">
        <w:rPr>
          <w:rStyle w:val="fontstyle01"/>
          <w:rFonts w:ascii="Times New Roman" w:hAnsi="Times New Roman" w:cs="Times New Roman"/>
          <w:color w:val="000000"/>
        </w:rPr>
        <w:t>Procédure</w:t>
      </w:r>
      <w:proofErr w:type="spellEnd"/>
      <w:r w:rsidRPr="00F05105">
        <w:rPr>
          <w:rStyle w:val="fontstyle01"/>
          <w:rFonts w:ascii="Times New Roman" w:hAnsi="Times New Roman" w:cs="Times New Roman"/>
          <w:color w:val="000000"/>
        </w:rPr>
        <w:t xml:space="preserve"> ouverte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IV.1.3) Information sur l'accord-cadre ou le système d'acquisition dynamique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L'avis concerne l'établissement d'un accord-cadre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IV.1.6) Enchère électronique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Une enchère électronique sera effectuée : </w:t>
      </w:r>
      <w:r w:rsidRPr="00F05105">
        <w:rPr>
          <w:rStyle w:val="fontstyle01"/>
          <w:rFonts w:ascii="Times New Roman" w:hAnsi="Times New Roman" w:cs="Times New Roman"/>
          <w:color w:val="000000"/>
        </w:rPr>
        <w:t>non</w:t>
      </w:r>
      <w:r w:rsidRPr="00F05105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IV.1.8) Marché couvert par l'accord sur les marchés publics (AMP) : </w:t>
      </w:r>
      <w:r w:rsidRPr="00F05105">
        <w:rPr>
          <w:rStyle w:val="fontstyle01"/>
          <w:rFonts w:ascii="Times New Roman" w:hAnsi="Times New Roman" w:cs="Times New Roman"/>
          <w:color w:val="000000"/>
        </w:rPr>
        <w:t>non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IV.2) RENSEIGNEMENTS D'ORDRE ADMINISTRATIF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IV.2.1) Publication(s) antérieure(s) relatives à la présente procédure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Référence de l'avis au JO : 2021/S255-674645 du 31 décembre 2021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IV.2.8) Informations sur l'abandon du système d'acquisition dynamique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IV.2.9) Informations sur l'abandon de la procédure d'appel à la concurrence sous la forme d'un avis de </w:t>
      </w:r>
      <w:proofErr w:type="spellStart"/>
      <w:r w:rsidRPr="00F05105">
        <w:rPr>
          <w:rStyle w:val="fontstyle21"/>
          <w:rFonts w:ascii="Times New Roman" w:hAnsi="Times New Roman" w:cs="Times New Roman"/>
        </w:rPr>
        <w:t>préinformation</w:t>
      </w:r>
      <w:proofErr w:type="spellEnd"/>
    </w:p>
    <w:p w:rsidR="00F05105" w:rsidRDefault="00F05105" w:rsidP="00F05105">
      <w:pPr>
        <w:rPr>
          <w:rStyle w:val="fontstyle21"/>
          <w:rFonts w:ascii="Times New Roman" w:hAnsi="Times New Roman" w:cs="Times New Roman"/>
          <w:color w:val="9A1E4A"/>
        </w:rPr>
      </w:pPr>
      <w:r w:rsidRPr="00F05105">
        <w:rPr>
          <w:rStyle w:val="fontstyle21"/>
          <w:rFonts w:ascii="Times New Roman" w:hAnsi="Times New Roman" w:cs="Times New Roman"/>
          <w:color w:val="9A1E4A"/>
        </w:rPr>
        <w:lastRenderedPageBreak/>
        <w:t>Section V : Attribution</w:t>
      </w:r>
      <w:r w:rsidRPr="00F0510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LOT N°1 : Attribué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Intitulé : </w:t>
      </w:r>
      <w:r w:rsidRPr="00F05105">
        <w:rPr>
          <w:rStyle w:val="fontstyle01"/>
          <w:rFonts w:ascii="Times New Roman" w:hAnsi="Times New Roman" w:cs="Times New Roman"/>
          <w:color w:val="000000"/>
        </w:rPr>
        <w:t>La création et la production de supports de communication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24 mars 2022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V.2.2) Informations sur les offres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Nombre d'offres reçues : </w:t>
      </w:r>
      <w:r w:rsidRPr="00F05105">
        <w:rPr>
          <w:rStyle w:val="fontstyle01"/>
          <w:rFonts w:ascii="Times New Roman" w:hAnsi="Times New Roman" w:cs="Times New Roman"/>
          <w:color w:val="000000"/>
        </w:rPr>
        <w:t>2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Nombre d'offres reçues de la part de PME : </w:t>
      </w:r>
      <w:r w:rsidRPr="00F05105">
        <w:rPr>
          <w:rStyle w:val="fontstyle01"/>
          <w:rFonts w:ascii="Times New Roman" w:hAnsi="Times New Roman" w:cs="Times New Roman"/>
          <w:color w:val="000000"/>
        </w:rPr>
        <w:t>2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Nombre d'offres reçues par voie électronique : </w:t>
      </w:r>
      <w:r w:rsidRPr="00F05105">
        <w:rPr>
          <w:rStyle w:val="fontstyle01"/>
          <w:rFonts w:ascii="Times New Roman" w:hAnsi="Times New Roman" w:cs="Times New Roman"/>
          <w:color w:val="000000"/>
        </w:rPr>
        <w:t>2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F05105">
        <w:rPr>
          <w:rStyle w:val="fontstyle01"/>
          <w:rFonts w:ascii="Times New Roman" w:hAnsi="Times New Roman" w:cs="Times New Roman"/>
          <w:color w:val="000000"/>
        </w:rPr>
        <w:t>non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V.2.3) Nom et adresse du titulaire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ESPRIT BTM, 1, rue Jeanne D’arc 97615 Pamandzi, 97615, PAMANDZI , FRANCE. Code NUTS : FRY50.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F05105">
        <w:rPr>
          <w:rStyle w:val="fontstyle01"/>
          <w:rFonts w:ascii="Times New Roman" w:hAnsi="Times New Roman" w:cs="Times New Roman"/>
          <w:color w:val="000000"/>
        </w:rPr>
        <w:t>oui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Estimation initiale du montant : </w:t>
      </w:r>
      <w:r w:rsidRPr="00F05105">
        <w:rPr>
          <w:rStyle w:val="fontstyle01"/>
          <w:rFonts w:ascii="Times New Roman" w:hAnsi="Times New Roman" w:cs="Times New Roman"/>
          <w:color w:val="000000"/>
        </w:rPr>
        <w:t>1600000 euros (Hors TVA).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Valeur totale : </w:t>
      </w:r>
      <w:r w:rsidRPr="00F05105">
        <w:rPr>
          <w:rStyle w:val="fontstyle01"/>
          <w:rFonts w:ascii="Times New Roman" w:hAnsi="Times New Roman" w:cs="Times New Roman"/>
          <w:color w:val="000000"/>
        </w:rPr>
        <w:t>1600000 euros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V.2.5) Informations sur la sous-traitance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LOT N°2 : Attribué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Intitulé : </w:t>
      </w:r>
      <w:r w:rsidRPr="00F05105">
        <w:rPr>
          <w:rStyle w:val="fontstyle01"/>
          <w:rFonts w:ascii="Times New Roman" w:hAnsi="Times New Roman" w:cs="Times New Roman"/>
          <w:color w:val="000000"/>
        </w:rPr>
        <w:t>La création, gestion, invitation, gestion organisationnelle, logistique, clôture et remise en état et rapport des événementiels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F05105">
        <w:rPr>
          <w:rStyle w:val="fontstyle01"/>
          <w:rFonts w:ascii="Times New Roman" w:hAnsi="Times New Roman" w:cs="Times New Roman"/>
          <w:color w:val="000000"/>
        </w:rPr>
        <w:t>demandés 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24 mars 2022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V.2.2) Informations sur les offres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Nombre d'offres reçues : </w:t>
      </w:r>
      <w:r w:rsidRPr="00F05105">
        <w:rPr>
          <w:rStyle w:val="fontstyle01"/>
          <w:rFonts w:ascii="Times New Roman" w:hAnsi="Times New Roman" w:cs="Times New Roman"/>
          <w:color w:val="000000"/>
        </w:rPr>
        <w:t>1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Nombre d'offres reçues de la part de PME : </w:t>
      </w:r>
      <w:r w:rsidRPr="00F05105">
        <w:rPr>
          <w:rStyle w:val="fontstyle01"/>
          <w:rFonts w:ascii="Times New Roman" w:hAnsi="Times New Roman" w:cs="Times New Roman"/>
          <w:color w:val="000000"/>
        </w:rPr>
        <w:t>1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Nombre d'offres reçues par voie électronique : </w:t>
      </w:r>
      <w:r w:rsidRPr="00F05105">
        <w:rPr>
          <w:rStyle w:val="fontstyle01"/>
          <w:rFonts w:ascii="Times New Roman" w:hAnsi="Times New Roman" w:cs="Times New Roman"/>
          <w:color w:val="000000"/>
        </w:rPr>
        <w:t>1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F05105">
        <w:rPr>
          <w:rStyle w:val="fontstyle01"/>
          <w:rFonts w:ascii="Times New Roman" w:hAnsi="Times New Roman" w:cs="Times New Roman"/>
          <w:color w:val="000000"/>
        </w:rPr>
        <w:t>non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V.2.3) Nom et adresse du titulaire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ESPRIT BTM, 1, rue Jeanne D’arc 97615 Pamandzi, 97615, PAMANDZI , FRANCE. Code NUTS : FRY50.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F05105">
        <w:rPr>
          <w:rStyle w:val="fontstyle01"/>
          <w:rFonts w:ascii="Times New Roman" w:hAnsi="Times New Roman" w:cs="Times New Roman"/>
          <w:color w:val="000000"/>
        </w:rPr>
        <w:t>oui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Estimation initiale du montant : </w:t>
      </w:r>
      <w:r w:rsidRPr="00F05105">
        <w:rPr>
          <w:rStyle w:val="fontstyle01"/>
          <w:rFonts w:ascii="Times New Roman" w:hAnsi="Times New Roman" w:cs="Times New Roman"/>
          <w:color w:val="000000"/>
        </w:rPr>
        <w:t>1600000 euros (Hors TVA).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Valeur totale : </w:t>
      </w:r>
      <w:r w:rsidRPr="00F05105">
        <w:rPr>
          <w:rStyle w:val="fontstyle01"/>
          <w:rFonts w:ascii="Times New Roman" w:hAnsi="Times New Roman" w:cs="Times New Roman"/>
          <w:color w:val="000000"/>
        </w:rPr>
        <w:t>1600000 euros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V.2.5) Informations sur la sous-traitance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LOT N°3 : Attribué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Intitulé : </w:t>
      </w:r>
      <w:r w:rsidRPr="00F05105">
        <w:rPr>
          <w:rStyle w:val="fontstyle01"/>
          <w:rFonts w:ascii="Times New Roman" w:hAnsi="Times New Roman" w:cs="Times New Roman"/>
          <w:color w:val="000000"/>
        </w:rPr>
        <w:t>L'impression des créations émises par le GIP CARIF OREF DE MAYOTTE via le lot 1 ou autres émanant de la communication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F05105">
        <w:rPr>
          <w:rStyle w:val="fontstyle01"/>
          <w:rFonts w:ascii="Times New Roman" w:hAnsi="Times New Roman" w:cs="Times New Roman"/>
          <w:color w:val="000000"/>
        </w:rPr>
        <w:t xml:space="preserve">du </w:t>
      </w:r>
      <w:proofErr w:type="spellStart"/>
      <w:r w:rsidRPr="00F05105">
        <w:rPr>
          <w:rStyle w:val="fontstyle01"/>
          <w:rFonts w:ascii="Times New Roman" w:hAnsi="Times New Roman" w:cs="Times New Roman"/>
          <w:color w:val="000000"/>
        </w:rPr>
        <w:t>gip</w:t>
      </w:r>
      <w:proofErr w:type="spellEnd"/>
      <w:r w:rsidRPr="00F05105">
        <w:rPr>
          <w:rStyle w:val="fontstyle01"/>
          <w:rFonts w:ascii="Times New Roman" w:hAnsi="Times New Roman" w:cs="Times New Roman"/>
          <w:color w:val="000000"/>
        </w:rPr>
        <w:t xml:space="preserve"> ou d'un partenaire sur des papiers de qualité, dans les délais impartis.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24 mars 2022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V.2.2) Informations sur les offres</w:t>
      </w:r>
      <w:r w:rsidRPr="00F05105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Nombre d'offres reçues : </w:t>
      </w:r>
      <w:r w:rsidRPr="00F05105">
        <w:rPr>
          <w:rStyle w:val="fontstyle01"/>
          <w:rFonts w:ascii="Times New Roman" w:hAnsi="Times New Roman" w:cs="Times New Roman"/>
          <w:color w:val="000000"/>
        </w:rPr>
        <w:t>3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Nombre d'offres reçues de la part de PME : </w:t>
      </w:r>
      <w:r w:rsidRPr="00F05105">
        <w:rPr>
          <w:rStyle w:val="fontstyle01"/>
          <w:rFonts w:ascii="Times New Roman" w:hAnsi="Times New Roman" w:cs="Times New Roman"/>
          <w:color w:val="000000"/>
        </w:rPr>
        <w:t>3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Nombre d'offres reçues par voie électronique : </w:t>
      </w:r>
      <w:r w:rsidRPr="00F05105">
        <w:rPr>
          <w:rStyle w:val="fontstyle01"/>
          <w:rFonts w:ascii="Times New Roman" w:hAnsi="Times New Roman" w:cs="Times New Roman"/>
          <w:color w:val="000000"/>
        </w:rPr>
        <w:t>3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F05105">
        <w:rPr>
          <w:rStyle w:val="fontstyle01"/>
          <w:rFonts w:ascii="Times New Roman" w:hAnsi="Times New Roman" w:cs="Times New Roman"/>
          <w:color w:val="000000"/>
        </w:rPr>
        <w:t>non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V.2.3) Nom et adresse du titulaire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IMPRIMAH, RN1 ZI KAWENI – BP 433 – 97600 MAMOUDZOU, 97600, MAMOUDZOU , FRANCE. Code NUTS : FRY50.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F05105">
        <w:rPr>
          <w:rStyle w:val="fontstyle01"/>
          <w:rFonts w:ascii="Times New Roman" w:hAnsi="Times New Roman" w:cs="Times New Roman"/>
          <w:color w:val="000000"/>
        </w:rPr>
        <w:t>oui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Estimation initiale du montant : </w:t>
      </w:r>
      <w:r w:rsidRPr="00F05105">
        <w:rPr>
          <w:rStyle w:val="fontstyle01"/>
          <w:rFonts w:ascii="Times New Roman" w:hAnsi="Times New Roman" w:cs="Times New Roman"/>
          <w:color w:val="000000"/>
        </w:rPr>
        <w:t>700000 euros (Hors TVA).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 xml:space="preserve">Valeur totale : </w:t>
      </w:r>
      <w:r w:rsidRPr="00F05105">
        <w:rPr>
          <w:rStyle w:val="fontstyle01"/>
          <w:rFonts w:ascii="Times New Roman" w:hAnsi="Times New Roman" w:cs="Times New Roman"/>
          <w:color w:val="000000"/>
        </w:rPr>
        <w:t>700000 euros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V.2.5) Informations sur la sous-traitance</w:t>
      </w:r>
    </w:p>
    <w:p w:rsidR="00313E49" w:rsidRPr="00F05105" w:rsidRDefault="00F05105" w:rsidP="00F05105">
      <w:pPr>
        <w:rPr>
          <w:rFonts w:ascii="Times New Roman" w:hAnsi="Times New Roman" w:cs="Times New Roman"/>
          <w:sz w:val="18"/>
          <w:szCs w:val="18"/>
        </w:rPr>
      </w:pPr>
      <w:r w:rsidRPr="00F05105">
        <w:rPr>
          <w:rStyle w:val="fontstyle21"/>
          <w:rFonts w:ascii="Times New Roman" w:hAnsi="Times New Roman" w:cs="Times New Roman"/>
          <w:color w:val="9A1E4A"/>
        </w:rPr>
        <w:t>Section VI : Renseignements complémentaires</w:t>
      </w:r>
      <w:r w:rsidRPr="00F0510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VI.3) INFORMATIONS COMPLÉMENTAIRES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VI.4) PROCÉDURES DE RECOURS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lastRenderedPageBreak/>
        <w:t>VI.4.1) Instance chargée des procédures de recours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 xml:space="preserve">Tribunal Administratif de Mayotte Les Hauts du Jardin du </w:t>
      </w:r>
      <w:proofErr w:type="gramStart"/>
      <w:r w:rsidRPr="00F05105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F05105">
        <w:rPr>
          <w:rStyle w:val="fontstyle01"/>
          <w:rFonts w:ascii="Times New Roman" w:hAnsi="Times New Roman" w:cs="Times New Roman"/>
          <w:color w:val="000000"/>
        </w:rPr>
        <w:t xml:space="preserve"> 97600 Mamoudzou FRANCE. Tél. +33 026961185. E-mail :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greffe.ta-mayotte@juradm.fr. Adresse internet : http://mayotte.tribunal-administratif.fr/.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VI.4.2) Organe chargé des procédures de médiation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VI.4.3) Introduction des recours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2 mois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</w:rPr>
        <w:t>VI.4.4) Service auprès duquel des renseignements peuvent être obtenus concernant l'introduction des recours</w:t>
      </w:r>
      <w:r w:rsidRPr="00F0510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 xml:space="preserve">Tribunal Administratif de Mayotte Les Hauts du Jardin du </w:t>
      </w:r>
      <w:proofErr w:type="gramStart"/>
      <w:r w:rsidRPr="00F05105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F05105">
        <w:rPr>
          <w:rStyle w:val="fontstyle01"/>
          <w:rFonts w:ascii="Times New Roman" w:hAnsi="Times New Roman" w:cs="Times New Roman"/>
          <w:color w:val="000000"/>
        </w:rPr>
        <w:t xml:space="preserve"> 97600 MAMOUDZOU FRANCE. Tél. +33 026961185. E-mail :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greffe.ta-mayotte@juradm.fr. Adresse internet : http://mayotte.tribunal-administratif.fr/.</w:t>
      </w:r>
      <w:r w:rsidRPr="00F051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05105">
        <w:rPr>
          <w:rStyle w:val="fontstyle21"/>
          <w:rFonts w:ascii="Times New Roman" w:hAnsi="Times New Roman" w:cs="Times New Roman"/>
          <w:color w:val="0864A5"/>
        </w:rPr>
        <w:t>VI.5) DATE D'ENVOI DU PRÉSENT AVIS</w:t>
      </w:r>
      <w:r w:rsidRPr="00F0510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F05105">
        <w:rPr>
          <w:rStyle w:val="fontstyle01"/>
          <w:rFonts w:ascii="Times New Roman" w:hAnsi="Times New Roman" w:cs="Times New Roman"/>
          <w:color w:val="000000"/>
        </w:rPr>
        <w:t>29 novembre 2022</w:t>
      </w:r>
    </w:p>
    <w:sectPr w:rsidR="00313E49" w:rsidRPr="00F05105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C9"/>
    <w:rsid w:val="00313E49"/>
    <w:rsid w:val="00331684"/>
    <w:rsid w:val="00DF54C9"/>
    <w:rsid w:val="00F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8D1"/>
  <w15:chartTrackingRefBased/>
  <w15:docId w15:val="{90BF120D-32DC-4082-83D1-A1814E64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F54C9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DF54C9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2022-12-01T14:18:00Z</dcterms:created>
  <dcterms:modified xsi:type="dcterms:W3CDTF">2022-12-01T14:18:00Z</dcterms:modified>
</cp:coreProperties>
</file>