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52DB" w:rsidRPr="004752DB" w:rsidRDefault="004752DB" w:rsidP="004752DB">
      <w:pPr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4752DB">
        <w:rPr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3CO - Communauté de</w:t>
      </w:r>
      <w:r w:rsidRPr="004752DB">
        <w:rPr>
          <w:b/>
          <w:bCs/>
        </w:rPr>
        <w:br/>
      </w:r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Communes du Centre Ouest</w:t>
      </w:r>
      <w:r w:rsidRPr="004752DB">
        <w:rPr>
          <w:b/>
          <w:bCs/>
        </w:rPr>
        <w:br/>
      </w:r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(976</w:t>
      </w:r>
      <w:proofErr w:type="gramStart"/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)</w:t>
      </w:r>
      <w:proofErr w:type="gramEnd"/>
      <w:r w:rsidRPr="004752DB">
        <w:rPr>
          <w:b/>
          <w:bCs/>
        </w:rPr>
        <w:br/>
      </w:r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Hôtel de Ville de </w:t>
      </w:r>
      <w:proofErr w:type="spellStart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>Tsingoni</w:t>
      </w:r>
      <w:proofErr w:type="spellEnd"/>
      <w:r w:rsidRPr="004752DB">
        <w:br/>
      </w:r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Place </w:t>
      </w:r>
      <w:proofErr w:type="spellStart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>Zoubert</w:t>
      </w:r>
      <w:proofErr w:type="spellEnd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>Adinani</w:t>
      </w:r>
      <w:proofErr w:type="spellEnd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BP35</w:t>
      </w:r>
      <w:r w:rsidRPr="004752DB">
        <w:br/>
      </w:r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Site de </w:t>
      </w:r>
      <w:proofErr w:type="spellStart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>Lazaré</w:t>
      </w:r>
      <w:proofErr w:type="spellEnd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>Mroalé</w:t>
      </w:r>
      <w:proofErr w:type="spellEnd"/>
      <w:r w:rsidRPr="004752DB">
        <w:br/>
      </w:r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97680 </w:t>
      </w:r>
      <w:proofErr w:type="spellStart"/>
      <w:r w:rsidRPr="004752DB">
        <w:rPr>
          <w:rStyle w:val="fontstyle01"/>
          <w:rFonts w:ascii="Times New Roman" w:hAnsi="Times New Roman"/>
          <w:color w:val="auto"/>
          <w:sz w:val="24"/>
          <w:szCs w:val="24"/>
        </w:rPr>
        <w:t>Tsingoni</w:t>
      </w:r>
      <w:proofErr w:type="spellEnd"/>
      <w:r w:rsidRPr="004752DB">
        <w:br/>
      </w:r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AVIS DE MARCHÉ</w:t>
      </w:r>
      <w:r w:rsidRPr="004752DB">
        <w:rPr>
          <w:b/>
          <w:bCs/>
        </w:rPr>
        <w:br/>
      </w:r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SERVICES</w:t>
      </w:r>
      <w:r w:rsidRPr="004752DB">
        <w:rPr>
          <w:b/>
          <w:bCs/>
        </w:rPr>
        <w:br/>
      </w:r>
      <w:r w:rsidRPr="004752DB">
        <w:rPr>
          <w:rStyle w:val="fontstyle21"/>
          <w:rFonts w:ascii="Times New Roman" w:hAnsi="Times New Roman"/>
          <w:color w:val="auto"/>
          <w:sz w:val="24"/>
          <w:szCs w:val="24"/>
        </w:rPr>
        <w:t>DIRECTIVE 2014/24/UE</w:t>
      </w:r>
    </w:p>
    <w:p w:rsidR="004752DB" w:rsidRDefault="004752DB" w:rsidP="004752DB">
      <w:pPr>
        <w:rPr>
          <w:rStyle w:val="fontstyle21"/>
          <w:rFonts w:ascii="Times New Roman" w:hAnsi="Times New Roman"/>
          <w:color w:val="9A1E4A"/>
        </w:rPr>
      </w:pP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9A1E4A"/>
        </w:rPr>
        <w:t>Section I : Pouvoir adjudicateur</w:t>
      </w:r>
      <w:r w:rsidRPr="004752DB">
        <w:rPr>
          <w:b/>
          <w:bCs/>
          <w:color w:val="9A1E4A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I.1) NOM ET ADRESSES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Communauté de Communes du Centre Ouest (976), Numéro national d'identification : 20005987100018, Contact :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Anassi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DANIEL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,</w:t>
      </w:r>
      <w:proofErr w:type="gram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1444, avenue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Zoubert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Adinani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, 97680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Tsingoni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, FRANCE. Tél. : +33 269637679. Courriel : dgast@3co-mayotte.fr. Code NUTS : FRY5.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Adresse(s) internet :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Adresse principale :http://www.3co-mayotte.fr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Adresse du profil d'acheteur : https://www.marches-securises.fr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I.2) PROCÉDURE CONJOINTE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I.3) COMMUNICATION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documents du marché sont disponibles gratuitement en accès direct non restreint et complet : https://www.marches-securises.fr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Adresse à laquelle des informations complémentaires peuvent être obtenues :</w:t>
      </w:r>
      <w:r w:rsidRPr="004752DB">
        <w:rPr>
          <w:b/>
          <w:bCs/>
          <w:color w:val="000000"/>
          <w:sz w:val="18"/>
          <w:szCs w:val="18"/>
        </w:rPr>
        <w:br/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Anassi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DANIEL, Numéro national d'identification : 20005987100018 1444, avenue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Zoubert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Adinani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, Contact : DGA Services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Techniques, 97680 TSINGONI, FRANCE. Tél. +33 0639236593. Courriel : dgast@3co-mayotte.fr. Code NUTS : FRY5. Adresse internet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: http://www.3co-mayotte.fr.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Adresse à laquelle les offres ou demandes de participation doivent être envoyées </w:t>
      </w:r>
      <w:proofErr w:type="gramStart"/>
      <w:r w:rsidRPr="004752DB">
        <w:rPr>
          <w:rStyle w:val="fontstyle21"/>
          <w:rFonts w:ascii="Times New Roman" w:hAnsi="Times New Roman"/>
        </w:rPr>
        <w:t>:</w:t>
      </w:r>
      <w:proofErr w:type="gramEnd"/>
      <w:r w:rsidRPr="004752DB">
        <w:rPr>
          <w:b/>
          <w:bCs/>
          <w:color w:val="000000"/>
          <w:sz w:val="18"/>
          <w:szCs w:val="18"/>
        </w:rPr>
        <w:br/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Anassi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DANIEL , Numéro national d'identification : 20005987100018 1444, avenue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Zoubert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Adinani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, Contact : DGA Services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Techniques, 97680 TSINGONI, FRANCE. Tél. +33 639236593. E-mail : dgast@3co-mayotte.fr. Code NUTS : FRY5. Adresse internet :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http://www.3co-mayotte.fr.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La communication électronique requiert l'utilisation d'outils et de dispositifs qui ne sont pas généralement disponibles et un</w:t>
      </w:r>
      <w:r>
        <w:rPr>
          <w:rStyle w:val="fontstyle21"/>
          <w:rFonts w:ascii="Times New Roman" w:hAnsi="Times New Roman"/>
        </w:rPr>
        <w:t xml:space="preserve"> </w:t>
      </w:r>
      <w:r w:rsidRPr="004752DB">
        <w:rPr>
          <w:rStyle w:val="fontstyle21"/>
          <w:rFonts w:ascii="Times New Roman" w:hAnsi="Times New Roman"/>
        </w:rPr>
        <w:t>accès direct non restreint et complet à ces outils et dispositifs est possible gratuitement à cette adresse internet (URL) :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https://www.marches-securises.fr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I.4) TYPE DE POUVOIR ADJUDICATEUR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Organisme de droit public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I.5) ACTIVITÉ PRINCIPALE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Autre(s) activité(s) : Communauté de communes du centre-ouest</w:t>
      </w:r>
      <w:r w:rsidRPr="004752DB">
        <w:rPr>
          <w:color w:val="000000"/>
          <w:sz w:val="18"/>
          <w:szCs w:val="18"/>
        </w:rPr>
        <w:br/>
      </w:r>
    </w:p>
    <w:p w:rsidR="004752DB" w:rsidRDefault="004752DB" w:rsidP="004752DB">
      <w:pPr>
        <w:rPr>
          <w:rStyle w:val="fontstyle21"/>
          <w:rFonts w:ascii="Times New Roman" w:hAnsi="Times New Roman"/>
          <w:color w:val="9A1E4A"/>
        </w:rPr>
      </w:pPr>
      <w:r w:rsidRPr="004752DB">
        <w:rPr>
          <w:rStyle w:val="fontstyle21"/>
          <w:rFonts w:ascii="Times New Roman" w:hAnsi="Times New Roman"/>
          <w:color w:val="9A1E4A"/>
        </w:rPr>
        <w:t>Section II : Objet</w:t>
      </w:r>
      <w:r w:rsidRPr="004752DB">
        <w:rPr>
          <w:b/>
          <w:bCs/>
          <w:color w:val="9A1E4A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II.1) ÉTENDUE DU MARCHÉ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II.1.1) Intitulé : </w:t>
      </w:r>
      <w:r w:rsidRPr="004752DB">
        <w:rPr>
          <w:rStyle w:val="fontstyle01"/>
          <w:rFonts w:ascii="Times New Roman" w:hAnsi="Times New Roman"/>
          <w:color w:val="000000"/>
        </w:rPr>
        <w:t>Service d'émission, de fourniture, de livraison et de conditionnement de titres restaurant pour le personnel de la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Communauté de Communes du Centre-Ouest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II.1.2) Code CPV principal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55300000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II.1.3) Type de marché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Services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II.1.4) Description succincte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Service d'émission, de fourniture, de livraison et de conditionnement de titres restaurant pour le personnel de la communauté de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communes du centre ouest (3CO) à Mayotte sur la base d'un volume annuel de 6480 titres à 9600 titres (valeurs indicatives 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contractuelles) pour environ 27 à 40 agents. Cet accord cadre s'exécutera sous la forme de commandes mensuelles, réalisées au cours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de la première dizaine de chaque mois. Le titulaire s'engage à une obligation de résultat pour exécuter et contrôler toutes les prestations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du marché et de ses éventuels avenants. Il doit garantir un niveau de professionnalisme et de qualité.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II.1.5) Valeur totale estimée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Valeur estimée hors TVA : </w:t>
      </w:r>
      <w:r w:rsidRPr="004752DB">
        <w:rPr>
          <w:rStyle w:val="fontstyle01"/>
          <w:rFonts w:ascii="Times New Roman" w:hAnsi="Times New Roman"/>
          <w:color w:val="000000"/>
        </w:rPr>
        <w:t>379008 euros.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II.1.6) Informations sur les lots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Division en lots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II.2) DESCRIPTION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II.2.2) Code(s) CPV additionnel(s)</w:t>
      </w:r>
      <w:r w:rsidRPr="004752DB">
        <w:rPr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lastRenderedPageBreak/>
        <w:t>55300000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II.2.3) Lieu d'exécution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Code NUTS : FRY5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Lieu principal d'exécution : </w:t>
      </w:r>
      <w:r w:rsidRPr="004752DB">
        <w:rPr>
          <w:rStyle w:val="fontstyle01"/>
          <w:rFonts w:ascii="Times New Roman" w:hAnsi="Times New Roman"/>
          <w:color w:val="000000"/>
        </w:rPr>
        <w:t>Siège de la Communauté de Communes du Centre-Ouest.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1444, avenue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Zoubert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 xml:space="preserve"> 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Adinani</w:t>
      </w:r>
      <w:proofErr w:type="spell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II.2.4) Description des prestations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Prestations assurées par le titulaire de l'accord cadre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:</w:t>
      </w:r>
      <w:proofErr w:type="gram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 titulaire de l'accord cadre sera tenu aux prestations suivantes :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Prise en charge d'une assurance couvrant la perte, la détérioration ou le vol durant le transport jusqu'à la remise de la commande à la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3CO.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Rédaction d'un rapport annuel rappelant les modalités règlementaires d'attribution des titres ainsi qu'une analyse individuelle des droits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des agents en termes d'attribution des titres.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Assurer l'information de la 3CO à propos de toute évolution règlementaire intervenant au cours de l'année civile afférente à la gestion et à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l'utilisation des titres.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Versement de la contre-valeur par le prestataire des titres émis perdus ou périmés durant l'année civile dans les conditions et modalités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fixées par les dispositions légales et règlementaires en vigueur.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Rapport d'activité et suivi de la relation client :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Une fois par an, le titulaire adressera au pouvoir adjudicateur un fichier contenant les informations suivantes :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Le nombre et le montant total des titres commandés durant l'année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Le nombre et le montant total des titres utilisés et payés aux prestataires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Le nombre et le montant total des titres rejetés pour mauvaise utilisation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Le nombre et le montant total des titres remboursés ou échangés et ceux restant en attente de remboursement ou d'échange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Un état récapitulatif de l'utilisation des titres restaurants par les agents (ville, raison sociale, adresse, code postal)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L'accompagnement de la commune par le titulaire (lors de la mise en place d'une communication interne /externe et tout au long de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l'exécution de l'accord cadre) est souhaité.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II.2.5) Critères d'attribution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 prix n'est pas le seul critère d'attribution et tous les critères sont énoncés uniquement dans les documents du marché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II.2.6) Valeur estimée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Valeur hors TVA : </w:t>
      </w:r>
      <w:r w:rsidRPr="004752DB">
        <w:rPr>
          <w:rStyle w:val="fontstyle01"/>
          <w:rFonts w:ascii="Times New Roman" w:hAnsi="Times New Roman"/>
          <w:color w:val="000000"/>
        </w:rPr>
        <w:t>379008 euros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II.2.7) Durée du marché, de l'accord-cadre ou du système d'acquisition dynamique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Durée en mois : 48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Ce marché peut faire l'objet d'une reconduction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II.2.9) Informations sur les limites concernant le nombre de candidats invités à participer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II.2.10) Variantes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Des variantes seront prises en considération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II.2.11) Informations sur les options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Options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II.2.12) Informations sur les catalogues électroniques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II.2.13) Information sur les fonds de l'Union européenne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Le contrat s'inscrit dans un projet/programme financé par des fonds de l'Union européenne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II.2.14) Informations complémentaires</w:t>
      </w:r>
      <w:r w:rsidRPr="004752DB">
        <w:rPr>
          <w:b/>
          <w:bCs/>
          <w:color w:val="000000"/>
          <w:sz w:val="18"/>
          <w:szCs w:val="18"/>
        </w:rPr>
        <w:br/>
      </w:r>
    </w:p>
    <w:p w:rsidR="004752DB" w:rsidRDefault="004752DB" w:rsidP="004752DB">
      <w:pPr>
        <w:rPr>
          <w:rStyle w:val="fontstyle01"/>
          <w:rFonts w:ascii="Times New Roman" w:hAnsi="Times New Roman"/>
          <w:color w:val="000000"/>
        </w:rPr>
      </w:pPr>
      <w:r w:rsidRPr="004752DB">
        <w:rPr>
          <w:rStyle w:val="fontstyle21"/>
          <w:rFonts w:ascii="Times New Roman" w:hAnsi="Times New Roman"/>
          <w:color w:val="9A1E4A"/>
        </w:rPr>
        <w:t>Section III : Renseignements d'ordre juridique, économique, financier et technique</w:t>
      </w:r>
      <w:r w:rsidRPr="004752DB">
        <w:rPr>
          <w:b/>
          <w:bCs/>
          <w:color w:val="9A1E4A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III.1) CONDITIONS DE PARTICIPATION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III.1.1) Habilitation à exercer l'activité professionnelle, y compris exigences relatives à l'inscription au registre du commerce ou de</w:t>
      </w:r>
      <w:r>
        <w:rPr>
          <w:rStyle w:val="fontstyle21"/>
          <w:rFonts w:ascii="Times New Roman" w:hAnsi="Times New Roman"/>
        </w:rPr>
        <w:t xml:space="preserve"> </w:t>
      </w:r>
      <w:r w:rsidRPr="004752DB">
        <w:rPr>
          <w:rStyle w:val="fontstyle21"/>
          <w:rFonts w:ascii="Times New Roman" w:hAnsi="Times New Roman"/>
        </w:rPr>
        <w:t>la profession</w:t>
      </w:r>
      <w:r>
        <w:rPr>
          <w:rStyle w:val="fontstyle21"/>
          <w:rFonts w:ascii="Times New Roman" w:hAnsi="Times New Roman"/>
        </w:rPr>
        <w:t xml:space="preserve"> </w:t>
      </w:r>
      <w:r w:rsidRPr="004752DB">
        <w:rPr>
          <w:rStyle w:val="fontstyle21"/>
          <w:rFonts w:ascii="Times New Roman" w:hAnsi="Times New Roman"/>
        </w:rPr>
        <w:t>Liste et description succincte des conditions :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candidats ne sont pas tenus de fournir les documents justificatifs et moyens de preuve que l'acheteur peut obtenir directement par le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biais d'un système électronique de mise à disposition d'informations administré par un organisme officiel ou d'un espace de stockage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numérique, à condition que figurent dans le dossier de candidature toutes les informations nécessaires à la consultation de ce système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ou de cet espace et que l'accès à ceux-ci soit gratuit.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candidats ne sont pas tenus de fournir les documents et renseignements qu'ils ont déjà transmis dans une précédente consultation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et qui demeurent valables.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Chaque candidat aura à produire un dossier complet comprenant les pièces suivantes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:</w:t>
      </w:r>
      <w:proofErr w:type="gram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Une lettre de candidature établie sur un formulaire DC1 à jour entièrement complété, ou établie sur papier libre, précisant :</w:t>
      </w:r>
      <w:r w:rsidRPr="004752DB">
        <w:rPr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/>
          <w:color w:val="000000"/>
        </w:rPr>
        <w:t>-</w:t>
      </w:r>
      <w:r w:rsidRPr="004752DB">
        <w:rPr>
          <w:rStyle w:val="fontstyle01"/>
          <w:rFonts w:ascii="Times New Roman" w:hAnsi="Times New Roman"/>
          <w:color w:val="000000"/>
        </w:rPr>
        <w:t xml:space="preserve"> le nom et l'adresse du candidat</w:t>
      </w:r>
      <w:r>
        <w:rPr>
          <w:rStyle w:val="fontstyle01"/>
          <w:rFonts w:ascii="Times New Roman" w:hAnsi="Times New Roman"/>
          <w:color w:val="000000"/>
        </w:rPr>
        <w:t xml:space="preserve"> </w:t>
      </w:r>
    </w:p>
    <w:p w:rsidR="00A61784" w:rsidRDefault="004752DB" w:rsidP="004752DB">
      <w:pPr>
        <w:rPr>
          <w:rStyle w:val="fontstyle01"/>
          <w:rFonts w:ascii="Times New Roman" w:hAnsi="Times New Roman"/>
          <w:color w:val="000000"/>
        </w:rPr>
      </w:pPr>
      <w:r>
        <w:rPr>
          <w:rStyle w:val="fontstyle01"/>
          <w:rFonts w:ascii="Times New Roman" w:hAnsi="Times New Roman"/>
          <w:color w:val="000000"/>
        </w:rPr>
        <w:t>-</w:t>
      </w:r>
      <w:r w:rsidRPr="004752DB">
        <w:rPr>
          <w:rStyle w:val="fontstyle01"/>
          <w:rFonts w:ascii="Times New Roman" w:hAnsi="Times New Roman"/>
          <w:color w:val="000000"/>
        </w:rPr>
        <w:t xml:space="preserve"> si le candidat se présente seul ou en groupement ; dans ce dernier cas, désignation des membres du groupement et du mandataire et</w:t>
      </w:r>
      <w:r>
        <w:rPr>
          <w:rStyle w:val="fontstyle01"/>
          <w:rFonts w:ascii="Times New Roman" w:hAnsi="Times New Roman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répartition des prestations en cas de groupement conjoint</w:t>
      </w:r>
      <w:r w:rsidRPr="004752DB">
        <w:rPr>
          <w:color w:val="000000"/>
          <w:sz w:val="18"/>
          <w:szCs w:val="18"/>
        </w:rPr>
        <w:br/>
      </w:r>
      <w:r>
        <w:rPr>
          <w:rStyle w:val="fontstyle01"/>
          <w:rFonts w:ascii="Times New Roman" w:hAnsi="Times New Roman"/>
          <w:color w:val="000000"/>
        </w:rPr>
        <w:t>-</w:t>
      </w:r>
      <w:r w:rsidRPr="004752DB">
        <w:rPr>
          <w:rStyle w:val="fontstyle01"/>
          <w:rFonts w:ascii="Times New Roman" w:hAnsi="Times New Roman"/>
          <w:color w:val="000000"/>
        </w:rPr>
        <w:t xml:space="preserve"> Une déclaration sur l'honneur : le candidat devra produire une déclaration sur l'honneur pour justifier qu'il n'entre dans aucun des cas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mentionnés aux articles L2141-1 à L2141-5 et L2141-7 à L2141-10 du code de la commande publique et notamment qu'il est en règle au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regard des articles L. 5212-1 à L. 5212-11 du code du travail concernant l'emploi des travailleurs handicapés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Une déclaration du candidat établie sur un formulaire DC2 à jour entièrement complété, précisant les renseignements demandés à l'article 14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- Conditions de participation et moyens de preuve acceptables ou les documents établissant ses capacités, tels que demandés à ce même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article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lastRenderedPageBreak/>
        <w:t>Pour information, les formulaires à jour de type DC1, DC2, etc. sont disponibles sur le site internet du ministère de l'économie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(http://www.economie.gouv.fr/daj/formulaires-declaration-du-candidat).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L'acheteur accepte que le candidat présente sa candidature sous la forme d'un document unique de marché européen établi conformément au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modèle fixé par le règlement de la Commission européenne 2016/7, en lieu et place des documents mentionnés à l'article R2143-3 du code de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la commande publique.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L'acheteur ne met pas à disposition des candidats de DUME Acheteur. Cela signifie que les candidats doivent renseigner la première partie du</w:t>
      </w:r>
      <w:r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DUME concernant les informations relatives à la procédure.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DUME électronique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</w:p>
    <w:p w:rsidR="00A61784" w:rsidRDefault="004752DB" w:rsidP="004752DB">
      <w:pPr>
        <w:rPr>
          <w:rStyle w:val="fontstyle21"/>
          <w:rFonts w:ascii="Times New Roman" w:hAnsi="Times New Roman"/>
          <w:color w:val="9A1E4A"/>
        </w:rPr>
      </w:pPr>
      <w:r w:rsidRPr="004752DB">
        <w:rPr>
          <w:rStyle w:val="fontstyle01"/>
          <w:rFonts w:ascii="Times New Roman" w:hAnsi="Times New Roman"/>
          <w:color w:val="000000"/>
        </w:rPr>
        <w:t>L'acheteur accepte que le candidat présente sa candidature en utilisant le DUME électronique sous forme d'échange de données structurées.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Consignes pour remplir le DUME selon la forme de candidature optée par l'opérateur économique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Un opérateur économique qui participe à titre individuel et qui ne recourt pas aux capacités d'autres entités pour remplir les conditions de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participation doit remplir un DUME.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Un opérateur économique qui participe à titre individuel, mais qui recourt aux capacités d'une ou de plusieurs autres entités, doit veiller à ce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que l'acheteur reçoive à la fois son DUME et un DUME distinct contenant les informations pertinentes pour chacune des entités auxquelles il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fait appel ; à savoir les informations demandées dans les sections A et B de la partie II et la partie III, dûment rempli et signé par les entités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concernés et dans la mesure où cela est pertinent, au vu des capacités auxquelles l'opérateur économique a recours, les parties IV et V.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En cas de candidature sous forme de groupement d'opérateurs économiques, un DUME distinct indiquant les informations requises au titre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des parties II à V doit être remis pour chacun des opérateurs économiques participants.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III.1.2) Capacité économique et financière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Liste et description succincte des critères de sélection </w:t>
      </w:r>
      <w:proofErr w:type="gramStart"/>
      <w:r w:rsidRPr="004752DB">
        <w:rPr>
          <w:rStyle w:val="fontstyle21"/>
          <w:rFonts w:ascii="Times New Roman" w:hAnsi="Times New Roman"/>
        </w:rPr>
        <w:t>:</w:t>
      </w:r>
      <w:proofErr w:type="gramEnd"/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 classement des offres et le choix du/des attributaire(s) sont fondés sur l'offre économiquement la plus avantageuse appréciée en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fonction des critères pondérés énoncés ci-dessous :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1. Critère Prix des prestations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pondéré à 60 sur 100 points.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2. Critère Valeur technique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pondéré à 40 sur 100 points.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2.1. Sous-critère « Méthode de travail pour mener à bien la mission » pondéré à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20 sur 40 points.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Noté sur 20 points.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2.2. Sous-critère Pertinence des références fournies par le candidat sur les opérations similaires pondéré à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20 sur 40 points.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Noté sur 20 points.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III.1.3) Capacité technique et professionnelle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Liste et description succincte des critères de sélection, indication des informations et documents requis :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documents et renseignements demandés par l'acheteur aux fins de vérification de l'aptitude à exercer l'activité professionnelle, de la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capacité économique et financière et des capacités techniques et professionnelles du candidat sont :</w:t>
      </w:r>
      <w:r w:rsidRPr="004752DB">
        <w:rPr>
          <w:color w:val="000000"/>
          <w:sz w:val="18"/>
          <w:szCs w:val="18"/>
        </w:rPr>
        <w:br/>
      </w:r>
      <w:r w:rsidR="00A61784">
        <w:rPr>
          <w:rStyle w:val="fontstyle01"/>
          <w:rFonts w:ascii="Times New Roman" w:hAnsi="Times New Roman"/>
          <w:color w:val="000000"/>
        </w:rPr>
        <w:t>-</w:t>
      </w:r>
      <w:r w:rsidRPr="004752DB">
        <w:rPr>
          <w:rStyle w:val="fontstyle01"/>
          <w:rFonts w:ascii="Times New Roman" w:hAnsi="Times New Roman"/>
          <w:color w:val="000000"/>
        </w:rPr>
        <w:t xml:space="preserve"> Indications concernant le chiffre d'affaires annuel général sur 3 ans.</w:t>
      </w:r>
      <w:r w:rsidRPr="004752DB">
        <w:rPr>
          <w:color w:val="000000"/>
          <w:sz w:val="18"/>
          <w:szCs w:val="18"/>
        </w:rPr>
        <w:br/>
      </w:r>
      <w:r w:rsidR="00A61784">
        <w:rPr>
          <w:rStyle w:val="fontstyle01"/>
          <w:rFonts w:ascii="Times New Roman" w:hAnsi="Times New Roman"/>
          <w:color w:val="000000"/>
        </w:rPr>
        <w:t>-</w:t>
      </w:r>
      <w:r w:rsidRPr="004752DB">
        <w:rPr>
          <w:rStyle w:val="fontstyle01"/>
          <w:rFonts w:ascii="Times New Roman" w:hAnsi="Times New Roman"/>
          <w:color w:val="000000"/>
        </w:rPr>
        <w:t xml:space="preserve"> Références des principales fournitures ou des principaux services fournis sur 3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ans.</w:t>
      </w:r>
      <w:r w:rsidRPr="004752DB">
        <w:rPr>
          <w:color w:val="000000"/>
          <w:sz w:val="18"/>
          <w:szCs w:val="18"/>
        </w:rPr>
        <w:br/>
      </w:r>
      <w:proofErr w:type="gramEnd"/>
      <w:r w:rsidR="00A61784">
        <w:rPr>
          <w:rStyle w:val="fontstyle01"/>
          <w:rFonts w:ascii="Times New Roman" w:hAnsi="Times New Roman"/>
          <w:color w:val="000000"/>
        </w:rPr>
        <w:t>-</w:t>
      </w:r>
      <w:r w:rsidRPr="004752DB">
        <w:rPr>
          <w:rStyle w:val="fontstyle01"/>
          <w:rFonts w:ascii="Times New Roman" w:hAnsi="Times New Roman"/>
          <w:color w:val="000000"/>
        </w:rPr>
        <w:t xml:space="preserve"> Titres d'études et professionnels exigés du prestataire de services ou du contractant lui-même.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III.1.5) Informations sur les marchés réservés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Marché réservé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III.2) CONDITIONS LIÉES AU MARCHÉ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III.2.1) Informations relatives à la profession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III.2.2) Conditions particulières d'exécution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– Forme juridique des groupements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:</w:t>
      </w:r>
      <w:proofErr w:type="gram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Dans le cas d'une candidature et d'une offre présentées par un groupement, le mandataire assure la sécurité et l'authenticité des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informations transmises au nom des membres du groupement.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–Restrictions liées à la présentation des candidatures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:</w:t>
      </w:r>
      <w:proofErr w:type="gramEnd"/>
      <w:r w:rsidRPr="004752DB">
        <w:rPr>
          <w:color w:val="CCCCCC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La même entreprise peut présenter pour l'accord-cadre plusieurs candidatures en agissant à la fois :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en qualité de candidat individuel et de membre d'un ou plusieurs groupements ;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en qualité de membre de plusieurs groupements.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Chaque candidat aura à produire un dossier complet comprenant les pièces suivantes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:</w:t>
      </w:r>
      <w:proofErr w:type="gram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Un acte d'engagement et ses éventuelles annexes, complété, daté par le candidat.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Signé.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Les candidats sont tenus de libeller leurs offres en euros.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Le bordereau des prix unitaires cadre ci-joint dont tous les postes doivent être obligatoirement chiffrés.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• Un mémoire justificatif.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III.2.3) Informations sur les membres du personnel responsables de l'exécution du marché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III.2.4) Marché éligible au MPS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La transmission et la vérification des documents de candidatures peut être effectuée par le dispositif Marché public simplifié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sur présentation du numéro de SIRET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9A1E4A"/>
        </w:rPr>
        <w:lastRenderedPageBreak/>
        <w:t>Section IV : Procédure</w:t>
      </w:r>
      <w:r w:rsidRPr="004752DB">
        <w:rPr>
          <w:b/>
          <w:bCs/>
          <w:color w:val="9A1E4A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IV.1) DESCRIPTION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IV.1.1) Type de procédure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Procédure ouverte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IV.1.3) Information sur l'accord-cadre ou le système d'acquisition dynamique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L'avis concerne l'établissement d'un accord-cadre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Accord-cadre avec un seul opérateur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IV.1.4) Informations sur la réduction du nombre de solutions ou d'offres durant la négociation ou le dialogue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IV.1.5) Information sur la négociation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IV.1.6) Enchère électronique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IV.1.8) Marché couvert par l'accord sur les marchés publics (AMP)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IV.2) RENSEIGNEMENTS D'ORDRE ADMINISTRATIF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IV.2.1) Publication(s) antérieure(s) relatives à la présente procédure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IV.2.2) Date limite de réception des offres ou des demandes de participation :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Samedi 17 décembre 2022 - 23:59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IV.2.3) Date d'envoi des invitations à soumissionner ou à participer aux candidats sélectionnés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IV.2.4) Langue(s) pouvant être utilisée(s) dans l'offre ou la demande de participation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français.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IV.2.6) Délai minimal pendant lequel le soumissionnaire est tenu de maintenir son offre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Durée en mois : </w:t>
      </w:r>
      <w:r w:rsidRPr="004752DB">
        <w:rPr>
          <w:rStyle w:val="fontstyle01"/>
          <w:rFonts w:ascii="Times New Roman" w:hAnsi="Times New Roman"/>
          <w:color w:val="000000"/>
        </w:rPr>
        <w:t>3 (à compter de la date limite de réception des offres).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IV.2.7) Modalités d'ouverture des offres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Date : </w:t>
      </w:r>
      <w:r w:rsidRPr="004752DB">
        <w:rPr>
          <w:rStyle w:val="fontstyle01"/>
          <w:rFonts w:ascii="Times New Roman" w:hAnsi="Times New Roman"/>
          <w:color w:val="000000"/>
        </w:rPr>
        <w:t>jeudi 22 décembre 2022 - 14:00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Lieu : </w:t>
      </w:r>
      <w:r w:rsidRPr="004752DB">
        <w:rPr>
          <w:rStyle w:val="fontstyle01"/>
          <w:rFonts w:ascii="Times New Roman" w:hAnsi="Times New Roman"/>
          <w:color w:val="000000"/>
        </w:rPr>
        <w:t>Mayotte.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Informations sur les personnes autorisées et les modalités d'ouverture : </w:t>
      </w:r>
      <w:r w:rsidRPr="004752DB">
        <w:rPr>
          <w:rStyle w:val="fontstyle01"/>
          <w:rFonts w:ascii="Times New Roman" w:hAnsi="Times New Roman"/>
          <w:color w:val="000000"/>
        </w:rPr>
        <w:t>Commission d'Appels d'Offres de la Communauté de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Communes du Centre-Ouest.</w:t>
      </w:r>
      <w:r w:rsidRPr="004752DB">
        <w:rPr>
          <w:color w:val="000000"/>
          <w:sz w:val="18"/>
          <w:szCs w:val="18"/>
        </w:rPr>
        <w:br/>
      </w:r>
    </w:p>
    <w:p w:rsidR="00D71642" w:rsidRPr="004752DB" w:rsidRDefault="004752DB" w:rsidP="004752DB">
      <w:pPr>
        <w:rPr>
          <w:sz w:val="18"/>
          <w:szCs w:val="18"/>
        </w:rPr>
      </w:pPr>
      <w:r w:rsidRPr="004752DB">
        <w:rPr>
          <w:rStyle w:val="fontstyle21"/>
          <w:rFonts w:ascii="Times New Roman" w:hAnsi="Times New Roman"/>
          <w:color w:val="9A1E4A"/>
        </w:rPr>
        <w:t>Section VI : Renseignements complémentaires</w:t>
      </w:r>
      <w:r w:rsidRPr="004752DB">
        <w:rPr>
          <w:b/>
          <w:bCs/>
          <w:color w:val="9A1E4A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VI.1) RENOUVELLEMENT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 xml:space="preserve">Il s'agit d'un marché renouvelable : </w:t>
      </w:r>
      <w:r w:rsidRPr="004752DB">
        <w:rPr>
          <w:rStyle w:val="fontstyle01"/>
          <w:rFonts w:ascii="Times New Roman" w:hAnsi="Times New Roman"/>
          <w:color w:val="000000"/>
        </w:rPr>
        <w:t>non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VI.2) INFORMATIONS SUR LES ÉCHANGES ÉLECTRONIQUES</w:t>
      </w:r>
      <w:r w:rsidRPr="004752DB">
        <w:rPr>
          <w:color w:val="CCCCCC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La facturation en ligne sera utilisée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VI.3) INFORMATIONS COMPLÉMENTAIRES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candidats présenteront leur réponse au moyen de fichiers comprenant à la fois les documents relatifs à la candidature et ceux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relatifs à l'offre.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La transmission dématérialisée est effectuée via le profil d'acheteur suivant : https://www.marches-securises.fr/.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frais d'accès au réseau sont à la charge des candidats. Chaque transmission dématérialisée fera l'objet d'une date certaine de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réception et d'un accusé de réception électronique. Le fuseau horaire de référence est celui qui est indiqué sur le site du profil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d'acheteur.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Il est rappelé que seule la transmission électronique complète avant l'heure limite de réception des offres constitue une offre électronique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remise dans les délais. Une offre électronique, en cours de transmission au moment de l'heure limite de réception des offres, constitue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une offre reçue hors délai.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Prescriptions relatives aux fichiers informatiques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Tout document ou support électronique envoyé par un candidat dans lequel un virus informatique est détecté par l'acheteur sera réputé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n'avoir jamais été reçu. Aussi, il est conseillé aux candidats d'utiliser un antivirus régulièrement mis à jour.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Par ailleurs, afin d'empêcher la diffusion des virus informatiques, les candidats ne doivent utiliser ni les exécutables (notamment les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"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exe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"), ni les "macros".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formats de fichiers acceptés par l'acheteur sont les suivants : ".doc", ".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xls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", ".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ppt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", ".zip", ".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pdf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", ".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docx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", ".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xlsx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", ".</w:t>
      </w:r>
      <w:proofErr w:type="spellStart"/>
      <w:r w:rsidRPr="004752DB">
        <w:rPr>
          <w:rStyle w:val="fontstyle01"/>
          <w:rFonts w:ascii="Times New Roman" w:hAnsi="Times New Roman"/>
          <w:color w:val="000000"/>
        </w:rPr>
        <w:t>pptx</w:t>
      </w:r>
      <w:proofErr w:type="spellEnd"/>
      <w:r w:rsidRPr="004752DB">
        <w:rPr>
          <w:rStyle w:val="fontstyle01"/>
          <w:rFonts w:ascii="Times New Roman" w:hAnsi="Times New Roman"/>
          <w:color w:val="000000"/>
        </w:rPr>
        <w:t>".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La taille maximum acceptée des fichiers est la suivante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:</w:t>
      </w:r>
      <w:proofErr w:type="gramEnd"/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Règles de nommage des fichiers dans le cadre de la réponse du candidat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Les noms des fichiers transmis par le candidat doivent comporter à minima la dénomination commerciale abrégé du candidat et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l'éventuel numéro du lot concerné. La dénomination des documents de votre candidature et de votre offre est importante : elle doit être la</w:t>
      </w:r>
      <w:r w:rsidR="00A61784">
        <w:rPr>
          <w:rStyle w:val="fontstyle01"/>
          <w:rFonts w:ascii="Times New Roman" w:hAnsi="Times New Roman"/>
          <w:color w:val="000000"/>
        </w:rPr>
        <w:t xml:space="preserve"> </w:t>
      </w:r>
      <w:r w:rsidRPr="004752DB">
        <w:rPr>
          <w:rStyle w:val="fontstyle01"/>
          <w:rFonts w:ascii="Times New Roman" w:hAnsi="Times New Roman"/>
          <w:color w:val="000000"/>
        </w:rPr>
        <w:t>plus simple possible pour permettre à l'acheteur d'identifier le fichier sans devoir l'ouvrir.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VI.4) PROCÉDURES DE RECOURS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VI.4.1) Instance chargée des procédures de recours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 xml:space="preserve">Tribunal administratif de Mamoudzou 669G+893, Rue de </w:t>
      </w:r>
      <w:proofErr w:type="gramStart"/>
      <w:r w:rsidRPr="004752DB">
        <w:rPr>
          <w:rStyle w:val="fontstyle01"/>
          <w:rFonts w:ascii="Times New Roman" w:hAnsi="Times New Roman"/>
          <w:color w:val="000000"/>
        </w:rPr>
        <w:t>l'internat ,</w:t>
      </w:r>
      <w:proofErr w:type="gramEnd"/>
      <w:r w:rsidRPr="004752DB">
        <w:rPr>
          <w:rStyle w:val="fontstyle01"/>
          <w:rFonts w:ascii="Times New Roman" w:hAnsi="Times New Roman"/>
          <w:color w:val="000000"/>
        </w:rPr>
        <w:t xml:space="preserve"> 97600 MAMOUDZOU FRANCE.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VI.4.2) Organe chargé des procédures de médiation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VI.4.3) Introduction des recours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Délai d'introduction du recours : 10 jours ouvrés après notification</w:t>
      </w:r>
      <w:r w:rsidRPr="004752DB">
        <w:rPr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</w:rPr>
        <w:t>VI.4.4) Service auprès duquel des renseignements peuvent être obtenus concernant l'introduction des recours</w:t>
      </w:r>
      <w:r w:rsidRPr="004752DB">
        <w:rPr>
          <w:b/>
          <w:bCs/>
          <w:color w:val="000000"/>
          <w:sz w:val="18"/>
          <w:szCs w:val="18"/>
        </w:rPr>
        <w:br/>
      </w:r>
      <w:r w:rsidRPr="004752DB">
        <w:rPr>
          <w:rStyle w:val="fontstyle21"/>
          <w:rFonts w:ascii="Times New Roman" w:hAnsi="Times New Roman"/>
          <w:color w:val="0864A5"/>
        </w:rPr>
        <w:t>VI.5) DATE D'ENVOI DU PRÉSENT AVIS</w:t>
      </w:r>
      <w:r w:rsidRPr="004752DB">
        <w:rPr>
          <w:b/>
          <w:bCs/>
          <w:color w:val="0864A5"/>
          <w:sz w:val="18"/>
          <w:szCs w:val="18"/>
        </w:rPr>
        <w:br/>
      </w:r>
      <w:r w:rsidRPr="004752DB">
        <w:rPr>
          <w:rStyle w:val="fontstyle01"/>
          <w:rFonts w:ascii="Times New Roman" w:hAnsi="Times New Roman"/>
          <w:color w:val="000000"/>
        </w:rPr>
        <w:t>07 novembre 2022</w:t>
      </w:r>
    </w:p>
    <w:sectPr w:rsidR="00D71642" w:rsidRPr="004752DB" w:rsidSect="00D01807">
      <w:footerReference w:type="default" r:id="rId7"/>
      <w:pgSz w:w="11906" w:h="16838"/>
      <w:pgMar w:top="1134" w:right="1304" w:bottom="2303" w:left="1304" w:header="0" w:footer="89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07" w:rsidRDefault="00D01807" w:rsidP="00D01807">
      <w:r>
        <w:separator/>
      </w:r>
    </w:p>
  </w:endnote>
  <w:endnote w:type="continuationSeparator" w:id="1">
    <w:p w:rsidR="00D01807" w:rsidRDefault="00D01807" w:rsidP="00D0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07" w:rsidRDefault="00D01807">
    <w:pPr>
      <w:pStyle w:val="Footer"/>
      <w:jc w:val="center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07" w:rsidRDefault="00D01807" w:rsidP="00D01807">
      <w:r>
        <w:separator/>
      </w:r>
    </w:p>
  </w:footnote>
  <w:footnote w:type="continuationSeparator" w:id="1">
    <w:p w:rsidR="00D01807" w:rsidRDefault="00D01807" w:rsidP="00D0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1C98"/>
    <w:multiLevelType w:val="multilevel"/>
    <w:tmpl w:val="D38898C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4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807"/>
    <w:rsid w:val="004752DB"/>
    <w:rsid w:val="00A61784"/>
    <w:rsid w:val="00D01807"/>
    <w:rsid w:val="00D7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7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D01807"/>
    <w:pPr>
      <w:keepNext/>
      <w:numPr>
        <w:numId w:val="1"/>
      </w:numPr>
      <w:jc w:val="right"/>
      <w:outlineLvl w:val="0"/>
    </w:pPr>
    <w:rPr>
      <w:b/>
      <w:bCs/>
      <w:lang w:val="nl-NL"/>
    </w:rPr>
  </w:style>
  <w:style w:type="paragraph" w:customStyle="1" w:styleId="Heading2">
    <w:name w:val="Heading 2"/>
    <w:basedOn w:val="Normal"/>
    <w:next w:val="Normal"/>
    <w:qFormat/>
    <w:rsid w:val="00D01807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customStyle="1" w:styleId="Heading3">
    <w:name w:val="Heading 3"/>
    <w:basedOn w:val="Normal"/>
    <w:next w:val="Corpsdetexte"/>
    <w:qFormat/>
    <w:rsid w:val="00D01807"/>
    <w:pPr>
      <w:numPr>
        <w:ilvl w:val="2"/>
        <w:numId w:val="1"/>
      </w:numPr>
      <w:ind w:left="0" w:right="709" w:firstLine="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customStyle="1" w:styleId="Heading4">
    <w:name w:val="Heading 4"/>
    <w:basedOn w:val="Normal"/>
    <w:next w:val="Normal"/>
    <w:qFormat/>
    <w:rsid w:val="00D01807"/>
    <w:pPr>
      <w:keepNext/>
      <w:numPr>
        <w:ilvl w:val="3"/>
        <w:numId w:val="1"/>
      </w:numPr>
      <w:spacing w:line="276" w:lineRule="auto"/>
      <w:ind w:left="0" w:firstLine="0"/>
      <w:jc w:val="both"/>
      <w:outlineLvl w:val="3"/>
    </w:pPr>
    <w:rPr>
      <w:b/>
      <w:i/>
      <w:color w:val="FF0000"/>
    </w:rPr>
  </w:style>
  <w:style w:type="paragraph" w:customStyle="1" w:styleId="Heading5">
    <w:name w:val="Heading 5"/>
    <w:basedOn w:val="Normal"/>
    <w:next w:val="Normal"/>
    <w:qFormat/>
    <w:rsid w:val="00D01807"/>
    <w:pPr>
      <w:keepNext/>
      <w:ind w:left="-567"/>
      <w:outlineLvl w:val="4"/>
    </w:pPr>
    <w:rPr>
      <w:b/>
    </w:rPr>
  </w:style>
  <w:style w:type="paragraph" w:customStyle="1" w:styleId="Heading6">
    <w:name w:val="Heading 6"/>
    <w:basedOn w:val="Normal"/>
    <w:next w:val="Corpsdetexte"/>
    <w:qFormat/>
    <w:rsid w:val="00D01807"/>
    <w:pPr>
      <w:numPr>
        <w:ilvl w:val="5"/>
        <w:numId w:val="1"/>
      </w:numPr>
      <w:spacing w:before="119" w:after="119"/>
      <w:ind w:left="709" w:right="709" w:firstLine="0"/>
      <w:jc w:val="both"/>
      <w:outlineLvl w:val="5"/>
    </w:pPr>
    <w:rPr>
      <w:rFonts w:ascii="Arial Unicode MS" w:eastAsia="Arial Unicode MS" w:hAnsi="Arial Unicode MS" w:cs="Arial Unicode MS"/>
      <w:b/>
      <w:bCs/>
      <w:color w:val="000000"/>
      <w:sz w:val="15"/>
      <w:szCs w:val="15"/>
      <w:u w:val="single"/>
    </w:rPr>
  </w:style>
  <w:style w:type="paragraph" w:customStyle="1" w:styleId="Heading7">
    <w:name w:val="Heading 7"/>
    <w:basedOn w:val="Normal"/>
    <w:next w:val="Normal"/>
    <w:qFormat/>
    <w:rsid w:val="00D01807"/>
    <w:pPr>
      <w:keepNext/>
      <w:jc w:val="center"/>
      <w:outlineLvl w:val="6"/>
    </w:pPr>
    <w:rPr>
      <w:i/>
    </w:rPr>
  </w:style>
  <w:style w:type="paragraph" w:customStyle="1" w:styleId="Heading8">
    <w:name w:val="Heading 8"/>
    <w:basedOn w:val="Normal"/>
    <w:next w:val="Normal"/>
    <w:qFormat/>
    <w:rsid w:val="00D01807"/>
    <w:pPr>
      <w:keepNext/>
      <w:tabs>
        <w:tab w:val="center" w:pos="7088"/>
      </w:tabs>
      <w:spacing w:before="120"/>
      <w:outlineLvl w:val="7"/>
    </w:pPr>
    <w:rPr>
      <w:rFonts w:ascii="Comic Sans MS" w:hAnsi="Comic Sans MS" w:cs="Comic Sans MS"/>
      <w:i/>
      <w:sz w:val="14"/>
    </w:rPr>
  </w:style>
  <w:style w:type="paragraph" w:customStyle="1" w:styleId="Heading9">
    <w:name w:val="Heading 9"/>
    <w:basedOn w:val="Normal"/>
    <w:next w:val="Normal"/>
    <w:qFormat/>
    <w:rsid w:val="00D0180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120" w:after="120"/>
      <w:jc w:val="center"/>
      <w:outlineLvl w:val="8"/>
    </w:pPr>
    <w:rPr>
      <w:rFonts w:ascii="Arial" w:hAnsi="Arial" w:cs="Arial"/>
      <w:b/>
      <w:sz w:val="22"/>
    </w:rPr>
  </w:style>
  <w:style w:type="character" w:customStyle="1" w:styleId="WW8Num1z0">
    <w:name w:val="WW8Num1z0"/>
    <w:qFormat/>
    <w:rsid w:val="00D01807"/>
  </w:style>
  <w:style w:type="character" w:customStyle="1" w:styleId="WW8Num1z1">
    <w:name w:val="WW8Num1z1"/>
    <w:qFormat/>
    <w:rsid w:val="00D01807"/>
  </w:style>
  <w:style w:type="character" w:customStyle="1" w:styleId="WW8Num1z2">
    <w:name w:val="WW8Num1z2"/>
    <w:qFormat/>
    <w:rsid w:val="00D01807"/>
  </w:style>
  <w:style w:type="character" w:customStyle="1" w:styleId="WW8Num1z3">
    <w:name w:val="WW8Num1z3"/>
    <w:qFormat/>
    <w:rsid w:val="00D01807"/>
  </w:style>
  <w:style w:type="character" w:customStyle="1" w:styleId="WW8Num1z4">
    <w:name w:val="WW8Num1z4"/>
    <w:qFormat/>
    <w:rsid w:val="00D01807"/>
  </w:style>
  <w:style w:type="character" w:customStyle="1" w:styleId="WW8Num1z5">
    <w:name w:val="WW8Num1z5"/>
    <w:qFormat/>
    <w:rsid w:val="00D01807"/>
  </w:style>
  <w:style w:type="character" w:customStyle="1" w:styleId="WW8Num1z6">
    <w:name w:val="WW8Num1z6"/>
    <w:qFormat/>
    <w:rsid w:val="00D01807"/>
  </w:style>
  <w:style w:type="character" w:customStyle="1" w:styleId="WW8Num1z7">
    <w:name w:val="WW8Num1z7"/>
    <w:qFormat/>
    <w:rsid w:val="00D01807"/>
  </w:style>
  <w:style w:type="character" w:customStyle="1" w:styleId="WW8Num1z8">
    <w:name w:val="WW8Num1z8"/>
    <w:qFormat/>
    <w:rsid w:val="00D01807"/>
  </w:style>
  <w:style w:type="character" w:customStyle="1" w:styleId="WW8Num2z0">
    <w:name w:val="WW8Num2z0"/>
    <w:qFormat/>
    <w:rsid w:val="00D01807"/>
  </w:style>
  <w:style w:type="character" w:customStyle="1" w:styleId="WW8Num2z1">
    <w:name w:val="WW8Num2z1"/>
    <w:qFormat/>
    <w:rsid w:val="00D01807"/>
  </w:style>
  <w:style w:type="character" w:customStyle="1" w:styleId="WW8Num2z2">
    <w:name w:val="WW8Num2z2"/>
    <w:qFormat/>
    <w:rsid w:val="00D01807"/>
  </w:style>
  <w:style w:type="character" w:customStyle="1" w:styleId="WW8Num2z3">
    <w:name w:val="WW8Num2z3"/>
    <w:qFormat/>
    <w:rsid w:val="00D01807"/>
  </w:style>
  <w:style w:type="character" w:customStyle="1" w:styleId="WW8Num2z4">
    <w:name w:val="WW8Num2z4"/>
    <w:qFormat/>
    <w:rsid w:val="00D01807"/>
  </w:style>
  <w:style w:type="character" w:customStyle="1" w:styleId="WW8Num2z5">
    <w:name w:val="WW8Num2z5"/>
    <w:qFormat/>
    <w:rsid w:val="00D01807"/>
  </w:style>
  <w:style w:type="character" w:customStyle="1" w:styleId="WW8Num2z6">
    <w:name w:val="WW8Num2z6"/>
    <w:qFormat/>
    <w:rsid w:val="00D01807"/>
  </w:style>
  <w:style w:type="character" w:customStyle="1" w:styleId="WW8Num2z7">
    <w:name w:val="WW8Num2z7"/>
    <w:qFormat/>
    <w:rsid w:val="00D01807"/>
  </w:style>
  <w:style w:type="character" w:customStyle="1" w:styleId="WW8Num2z8">
    <w:name w:val="WW8Num2z8"/>
    <w:qFormat/>
    <w:rsid w:val="00D01807"/>
  </w:style>
  <w:style w:type="character" w:customStyle="1" w:styleId="Absatz-Standardschriftart">
    <w:name w:val="Absatz-Standardschriftart"/>
    <w:qFormat/>
    <w:rsid w:val="00D01807"/>
  </w:style>
  <w:style w:type="character" w:customStyle="1" w:styleId="WW-Absatz-Standardschriftart">
    <w:name w:val="WW-Absatz-Standardschriftart"/>
    <w:qFormat/>
    <w:rsid w:val="00D01807"/>
  </w:style>
  <w:style w:type="character" w:customStyle="1" w:styleId="WW-Absatz-Standardschriftart1">
    <w:name w:val="WW-Absatz-Standardschriftart1"/>
    <w:qFormat/>
    <w:rsid w:val="00D01807"/>
  </w:style>
  <w:style w:type="character" w:customStyle="1" w:styleId="WW-Absatz-Standardschriftart11">
    <w:name w:val="WW-Absatz-Standardschriftart11"/>
    <w:qFormat/>
    <w:rsid w:val="00D01807"/>
  </w:style>
  <w:style w:type="character" w:customStyle="1" w:styleId="WW-Absatz-Standardschriftart111">
    <w:name w:val="WW-Absatz-Standardschriftart111"/>
    <w:qFormat/>
    <w:rsid w:val="00D01807"/>
  </w:style>
  <w:style w:type="character" w:customStyle="1" w:styleId="WW-Absatz-Standardschriftart1111">
    <w:name w:val="WW-Absatz-Standardschriftart1111"/>
    <w:qFormat/>
    <w:rsid w:val="00D01807"/>
  </w:style>
  <w:style w:type="character" w:customStyle="1" w:styleId="WW-Absatz-Standardschriftart11111">
    <w:name w:val="WW-Absatz-Standardschriftart11111"/>
    <w:qFormat/>
    <w:rsid w:val="00D01807"/>
  </w:style>
  <w:style w:type="character" w:customStyle="1" w:styleId="WW-Absatz-Standardschriftart111111">
    <w:name w:val="WW-Absatz-Standardschriftart111111"/>
    <w:qFormat/>
    <w:rsid w:val="00D01807"/>
  </w:style>
  <w:style w:type="character" w:customStyle="1" w:styleId="WW-Absatz-Standardschriftart1111111">
    <w:name w:val="WW-Absatz-Standardschriftart1111111"/>
    <w:qFormat/>
    <w:rsid w:val="00D01807"/>
  </w:style>
  <w:style w:type="character" w:customStyle="1" w:styleId="WW-Absatz-Standardschriftart11111111">
    <w:name w:val="WW-Absatz-Standardschriftart11111111"/>
    <w:qFormat/>
    <w:rsid w:val="00D01807"/>
  </w:style>
  <w:style w:type="character" w:customStyle="1" w:styleId="WW-Absatz-Standardschriftart111111111">
    <w:name w:val="WW-Absatz-Standardschriftart111111111"/>
    <w:qFormat/>
    <w:rsid w:val="00D01807"/>
  </w:style>
  <w:style w:type="character" w:customStyle="1" w:styleId="WW-Absatz-Standardschriftart1111111111">
    <w:name w:val="WW-Absatz-Standardschriftart1111111111"/>
    <w:qFormat/>
    <w:rsid w:val="00D01807"/>
  </w:style>
  <w:style w:type="character" w:customStyle="1" w:styleId="WW-Absatz-Standardschriftart11111111111">
    <w:name w:val="WW-Absatz-Standardschriftart11111111111"/>
    <w:qFormat/>
    <w:rsid w:val="00D01807"/>
  </w:style>
  <w:style w:type="character" w:customStyle="1" w:styleId="WW-Absatz-Standardschriftart111111111111">
    <w:name w:val="WW-Absatz-Standardschriftart111111111111"/>
    <w:qFormat/>
    <w:rsid w:val="00D01807"/>
  </w:style>
  <w:style w:type="character" w:customStyle="1" w:styleId="WW-Absatz-Standardschriftart1111111111111">
    <w:name w:val="WW-Absatz-Standardschriftart1111111111111"/>
    <w:qFormat/>
    <w:rsid w:val="00D01807"/>
  </w:style>
  <w:style w:type="character" w:customStyle="1" w:styleId="WW-Absatz-Standardschriftart11111111111111">
    <w:name w:val="WW-Absatz-Standardschriftart11111111111111"/>
    <w:qFormat/>
    <w:rsid w:val="00D01807"/>
  </w:style>
  <w:style w:type="character" w:customStyle="1" w:styleId="WW-Absatz-Standardschriftart111111111111111">
    <w:name w:val="WW-Absatz-Standardschriftart111111111111111"/>
    <w:qFormat/>
    <w:rsid w:val="00D01807"/>
  </w:style>
  <w:style w:type="character" w:customStyle="1" w:styleId="WW-Absatz-Standardschriftart1111111111111111">
    <w:name w:val="WW-Absatz-Standardschriftart1111111111111111"/>
    <w:qFormat/>
    <w:rsid w:val="00D01807"/>
  </w:style>
  <w:style w:type="character" w:customStyle="1" w:styleId="WW-Absatz-Standardschriftart11111111111111111">
    <w:name w:val="WW-Absatz-Standardschriftart11111111111111111"/>
    <w:qFormat/>
    <w:rsid w:val="00D01807"/>
  </w:style>
  <w:style w:type="character" w:customStyle="1" w:styleId="WW-Absatz-Standardschriftart111111111111111111">
    <w:name w:val="WW-Absatz-Standardschriftart111111111111111111"/>
    <w:qFormat/>
    <w:rsid w:val="00D01807"/>
  </w:style>
  <w:style w:type="character" w:customStyle="1" w:styleId="WW-Absatz-Standardschriftart1111111111111111111">
    <w:name w:val="WW-Absatz-Standardschriftart1111111111111111111"/>
    <w:qFormat/>
    <w:rsid w:val="00D01807"/>
  </w:style>
  <w:style w:type="character" w:customStyle="1" w:styleId="WW-Absatz-Standardschriftart11111111111111111111">
    <w:name w:val="WW-Absatz-Standardschriftart11111111111111111111"/>
    <w:qFormat/>
    <w:rsid w:val="00D01807"/>
  </w:style>
  <w:style w:type="character" w:customStyle="1" w:styleId="WW-Absatz-Standardschriftart111111111111111111111">
    <w:name w:val="WW-Absatz-Standardschriftart111111111111111111111"/>
    <w:qFormat/>
    <w:rsid w:val="00D01807"/>
  </w:style>
  <w:style w:type="character" w:customStyle="1" w:styleId="WW-Absatz-Standardschriftart1111111111111111111111">
    <w:name w:val="WW-Absatz-Standardschriftart1111111111111111111111"/>
    <w:qFormat/>
    <w:rsid w:val="00D01807"/>
  </w:style>
  <w:style w:type="character" w:customStyle="1" w:styleId="WW-Absatz-Standardschriftart11111111111111111111111">
    <w:name w:val="WW-Absatz-Standardschriftart11111111111111111111111"/>
    <w:qFormat/>
    <w:rsid w:val="00D01807"/>
  </w:style>
  <w:style w:type="character" w:customStyle="1" w:styleId="WW-Absatz-Standardschriftart111111111111111111111111">
    <w:name w:val="WW-Absatz-Standardschriftart111111111111111111111111"/>
    <w:qFormat/>
    <w:rsid w:val="00D01807"/>
  </w:style>
  <w:style w:type="character" w:customStyle="1" w:styleId="WW-Absatz-Standardschriftart1111111111111111111111111">
    <w:name w:val="WW-Absatz-Standardschriftart1111111111111111111111111"/>
    <w:qFormat/>
    <w:rsid w:val="00D01807"/>
  </w:style>
  <w:style w:type="character" w:customStyle="1" w:styleId="WW-Absatz-Standardschriftart11111111111111111111111111">
    <w:name w:val="WW-Absatz-Standardschriftart11111111111111111111111111"/>
    <w:qFormat/>
    <w:rsid w:val="00D01807"/>
  </w:style>
  <w:style w:type="character" w:customStyle="1" w:styleId="WW8Num5z0">
    <w:name w:val="WW8Num5z0"/>
    <w:qFormat/>
    <w:rsid w:val="00D01807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D01807"/>
    <w:rPr>
      <w:rFonts w:ascii="Courier New" w:hAnsi="Courier New" w:cs="Courier New"/>
    </w:rPr>
  </w:style>
  <w:style w:type="character" w:customStyle="1" w:styleId="WW8Num5z2">
    <w:name w:val="WW8Num5z2"/>
    <w:qFormat/>
    <w:rsid w:val="00D01807"/>
    <w:rPr>
      <w:rFonts w:ascii="Wingdings" w:hAnsi="Wingdings" w:cs="Wingdings"/>
    </w:rPr>
  </w:style>
  <w:style w:type="character" w:customStyle="1" w:styleId="WW8Num5z3">
    <w:name w:val="WW8Num5z3"/>
    <w:qFormat/>
    <w:rsid w:val="00D01807"/>
    <w:rPr>
      <w:rFonts w:ascii="Symbol" w:hAnsi="Symbol" w:cs="Symbol"/>
    </w:rPr>
  </w:style>
  <w:style w:type="character" w:customStyle="1" w:styleId="WW8Num6z0">
    <w:name w:val="WW8Num6z0"/>
    <w:qFormat/>
    <w:rsid w:val="00D01807"/>
    <w:rPr>
      <w:b/>
    </w:rPr>
  </w:style>
  <w:style w:type="character" w:customStyle="1" w:styleId="WW8Num9z0">
    <w:name w:val="WW8Num9z0"/>
    <w:qFormat/>
    <w:rsid w:val="00D01807"/>
    <w:rPr>
      <w:b/>
    </w:rPr>
  </w:style>
  <w:style w:type="character" w:customStyle="1" w:styleId="LienInternet">
    <w:name w:val="Lien Internet"/>
    <w:rsid w:val="00D01807"/>
    <w:rPr>
      <w:color w:val="0000FF"/>
      <w:u w:val="single"/>
    </w:rPr>
  </w:style>
  <w:style w:type="character" w:customStyle="1" w:styleId="st">
    <w:name w:val="st"/>
    <w:basedOn w:val="Policepardfaut"/>
    <w:qFormat/>
    <w:rsid w:val="00D01807"/>
  </w:style>
  <w:style w:type="character" w:styleId="Accentuation">
    <w:name w:val="Emphasis"/>
    <w:qFormat/>
    <w:rsid w:val="00D01807"/>
    <w:rPr>
      <w:i/>
      <w:iCs/>
    </w:rPr>
  </w:style>
  <w:style w:type="character" w:customStyle="1" w:styleId="TextedebullesCar">
    <w:name w:val="Texte de bulles Car"/>
    <w:qFormat/>
    <w:rsid w:val="00D01807"/>
    <w:rPr>
      <w:rFonts w:ascii="Tahoma" w:hAnsi="Tahoma" w:cs="Tahoma"/>
      <w:sz w:val="16"/>
      <w:szCs w:val="16"/>
    </w:rPr>
  </w:style>
  <w:style w:type="character" w:customStyle="1" w:styleId="Titre1Car">
    <w:name w:val="Titre 1 Car"/>
    <w:qFormat/>
    <w:rsid w:val="00D01807"/>
    <w:rPr>
      <w:b/>
      <w:bCs/>
      <w:sz w:val="24"/>
      <w:szCs w:val="24"/>
      <w:lang w:val="nl-NL"/>
    </w:rPr>
  </w:style>
  <w:style w:type="character" w:customStyle="1" w:styleId="Puces">
    <w:name w:val="Puces"/>
    <w:qFormat/>
    <w:rsid w:val="00D01807"/>
    <w:rPr>
      <w:rFonts w:ascii="OpenSymbol;Arial Unicode MS" w:eastAsia="OpenSymbol;Arial Unicode MS" w:hAnsi="OpenSymbol;Arial Unicode MS" w:cs="OpenSymbol;Arial Unicode MS"/>
    </w:rPr>
  </w:style>
  <w:style w:type="character" w:customStyle="1" w:styleId="WW-Absatz-Standardschriftart11111111111111111111111111111111111">
    <w:name w:val="WW-Absatz-Standardschriftart11111111111111111111111111111111111"/>
    <w:qFormat/>
    <w:rsid w:val="00D01807"/>
  </w:style>
  <w:style w:type="character" w:customStyle="1" w:styleId="WW-Absatz-Standardschriftart1111111111111111111111111111111111">
    <w:name w:val="WW-Absatz-Standardschriftart1111111111111111111111111111111111"/>
    <w:qFormat/>
    <w:rsid w:val="00D01807"/>
  </w:style>
  <w:style w:type="character" w:customStyle="1" w:styleId="WW-Absatz-Standardschriftart111111111111111111111111111111111">
    <w:name w:val="WW-Absatz-Standardschriftart111111111111111111111111111111111"/>
    <w:qFormat/>
    <w:rsid w:val="00D01807"/>
  </w:style>
  <w:style w:type="character" w:customStyle="1" w:styleId="WW-Absatz-Standardschriftart11111111111111111111111111111111">
    <w:name w:val="WW-Absatz-Standardschriftart11111111111111111111111111111111"/>
    <w:qFormat/>
    <w:rsid w:val="00D01807"/>
  </w:style>
  <w:style w:type="character" w:customStyle="1" w:styleId="WW-Absatz-Standardschriftart1111111111111111111111111111111">
    <w:name w:val="WW-Absatz-Standardschriftart1111111111111111111111111111111"/>
    <w:qFormat/>
    <w:rsid w:val="00D01807"/>
  </w:style>
  <w:style w:type="character" w:customStyle="1" w:styleId="WW-Absatz-Standardschriftart111111111111111111111111111111">
    <w:name w:val="WW-Absatz-Standardschriftart111111111111111111111111111111"/>
    <w:qFormat/>
    <w:rsid w:val="00D01807"/>
  </w:style>
  <w:style w:type="character" w:customStyle="1" w:styleId="WW-Absatz-Standardschriftart11111111111111111111111111111">
    <w:name w:val="WW-Absatz-Standardschriftart11111111111111111111111111111"/>
    <w:qFormat/>
    <w:rsid w:val="00D01807"/>
  </w:style>
  <w:style w:type="character" w:customStyle="1" w:styleId="WW-Absatz-Standardschriftart1111111111111111111111111111">
    <w:name w:val="WW-Absatz-Standardschriftart1111111111111111111111111111"/>
    <w:qFormat/>
    <w:rsid w:val="00D01807"/>
  </w:style>
  <w:style w:type="character" w:customStyle="1" w:styleId="WW-Absatz-Standardschriftart111111111111111111111111111">
    <w:name w:val="WW-Absatz-Standardschriftart111111111111111111111111111"/>
    <w:qFormat/>
    <w:rsid w:val="00D01807"/>
  </w:style>
  <w:style w:type="character" w:customStyle="1" w:styleId="Accentuationforte">
    <w:name w:val="Accentuation forte"/>
    <w:basedOn w:val="Policepardfaut"/>
    <w:qFormat/>
    <w:rsid w:val="00D01807"/>
    <w:rPr>
      <w:b/>
      <w:bCs/>
    </w:rPr>
  </w:style>
  <w:style w:type="character" w:customStyle="1" w:styleId="Policepardfaut1">
    <w:name w:val="Police par défaut1"/>
    <w:qFormat/>
    <w:rsid w:val="00D01807"/>
  </w:style>
  <w:style w:type="character" w:customStyle="1" w:styleId="LienInternetvisit">
    <w:name w:val="Lien Internet visité"/>
    <w:basedOn w:val="Policepardfaut1"/>
    <w:rsid w:val="00D01807"/>
    <w:rPr>
      <w:color w:val="800080"/>
      <w:u w:val="single"/>
    </w:rPr>
  </w:style>
  <w:style w:type="character" w:styleId="Numrodepage">
    <w:name w:val="page number"/>
    <w:basedOn w:val="Policepardfaut1"/>
    <w:rsid w:val="00D01807"/>
  </w:style>
  <w:style w:type="character" w:customStyle="1" w:styleId="Caractresdenotedebasdepage">
    <w:name w:val="Caractères de note de bas de page"/>
    <w:basedOn w:val="Policepardfaut1"/>
    <w:qFormat/>
    <w:rsid w:val="00D01807"/>
    <w:rPr>
      <w:vertAlign w:val="superscript"/>
    </w:rPr>
  </w:style>
  <w:style w:type="character" w:customStyle="1" w:styleId="WW8Num4z0">
    <w:name w:val="WW8Num4z0"/>
    <w:qFormat/>
    <w:rsid w:val="00D01807"/>
    <w:rPr>
      <w:rFonts w:ascii="Times New Roman" w:hAnsi="Times New Roman" w:cs="Times New Roman"/>
    </w:rPr>
  </w:style>
  <w:style w:type="character" w:customStyle="1" w:styleId="WW8Num3z0">
    <w:name w:val="WW8Num3z0"/>
    <w:qFormat/>
    <w:rsid w:val="00D01807"/>
    <w:rPr>
      <w:rFonts w:ascii="Times New Roman" w:hAnsi="Times New Roman" w:cs="Times New Roman"/>
    </w:rPr>
  </w:style>
  <w:style w:type="character" w:customStyle="1" w:styleId="Caractresdenumrotation">
    <w:name w:val="Caractères de numérotation"/>
    <w:qFormat/>
    <w:rsid w:val="00D01807"/>
  </w:style>
  <w:style w:type="character" w:customStyle="1" w:styleId="Policepardfaut2">
    <w:name w:val="Police par défaut2"/>
    <w:qFormat/>
    <w:rsid w:val="00D01807"/>
  </w:style>
  <w:style w:type="character" w:customStyle="1" w:styleId="Policepardfaut3">
    <w:name w:val="Police par défaut3"/>
    <w:qFormat/>
    <w:rsid w:val="00D01807"/>
  </w:style>
  <w:style w:type="paragraph" w:styleId="Titre">
    <w:name w:val="Title"/>
    <w:basedOn w:val="Titre"/>
    <w:next w:val="Corpsdetexte"/>
    <w:qFormat/>
    <w:rsid w:val="00D01807"/>
  </w:style>
  <w:style w:type="paragraph" w:styleId="Corpsdetexte">
    <w:name w:val="Body Text"/>
    <w:basedOn w:val="Normal"/>
    <w:rsid w:val="00D01807"/>
    <w:pPr>
      <w:spacing w:after="120"/>
    </w:pPr>
  </w:style>
  <w:style w:type="paragraph" w:styleId="Liste">
    <w:name w:val="List"/>
    <w:basedOn w:val="Corpsdetexte"/>
    <w:rsid w:val="00D01807"/>
    <w:rPr>
      <w:rFonts w:cs="Mangal"/>
    </w:rPr>
  </w:style>
  <w:style w:type="paragraph" w:customStyle="1" w:styleId="Caption">
    <w:name w:val="Caption"/>
    <w:basedOn w:val="Normal"/>
    <w:qFormat/>
    <w:rsid w:val="00D018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D01807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D01807"/>
    <w:pPr>
      <w:spacing w:before="280"/>
      <w:jc w:val="both"/>
    </w:pPr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qFormat/>
    <w:rsid w:val="00D01807"/>
    <w:pPr>
      <w:spacing w:before="280"/>
      <w:jc w:val="both"/>
    </w:pPr>
    <w:rPr>
      <w:rFonts w:ascii="Arial" w:eastAsia="Arial Unicode MS" w:hAnsi="Arial" w:cs="Arial"/>
    </w:rPr>
  </w:style>
  <w:style w:type="paragraph" w:styleId="Retraitcorpsdetexte">
    <w:name w:val="Body Text Indent"/>
    <w:basedOn w:val="Normal"/>
    <w:rsid w:val="00D01807"/>
    <w:pPr>
      <w:ind w:firstLine="708"/>
      <w:jc w:val="both"/>
    </w:pPr>
  </w:style>
  <w:style w:type="paragraph" w:styleId="Textedebulles">
    <w:name w:val="Balloon Text"/>
    <w:basedOn w:val="Normal"/>
    <w:qFormat/>
    <w:rsid w:val="00D01807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qFormat/>
    <w:rsid w:val="00D01807"/>
    <w:pPr>
      <w:ind w:left="567"/>
    </w:pPr>
    <w:rPr>
      <w:rFonts w:ascii="Arial" w:hAnsi="Arial" w:cs="Arial"/>
      <w:sz w:val="22"/>
    </w:rPr>
  </w:style>
  <w:style w:type="paragraph" w:customStyle="1" w:styleId="HeaderandFooter">
    <w:name w:val="Header and Footer"/>
    <w:basedOn w:val="Normal"/>
    <w:qFormat/>
    <w:rsid w:val="00D0180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"/>
    <w:rsid w:val="00D0180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qFormat/>
    <w:rsid w:val="00D01807"/>
    <w:pPr>
      <w:suppressLineNumbers/>
    </w:pPr>
  </w:style>
  <w:style w:type="paragraph" w:customStyle="1" w:styleId="Titredetableau">
    <w:name w:val="Titre de tableau"/>
    <w:basedOn w:val="Contenudetableau"/>
    <w:qFormat/>
    <w:rsid w:val="00D01807"/>
    <w:pPr>
      <w:jc w:val="center"/>
    </w:pPr>
    <w:rPr>
      <w:b/>
      <w:bCs/>
    </w:rPr>
  </w:style>
  <w:style w:type="paragraph" w:styleId="Corpsdetexte3">
    <w:name w:val="Body Text 3"/>
    <w:basedOn w:val="Normal"/>
    <w:qFormat/>
    <w:rsid w:val="00D01807"/>
    <w:pPr>
      <w:tabs>
        <w:tab w:val="left" w:pos="1701"/>
      </w:tabs>
      <w:ind w:right="-108"/>
      <w:jc w:val="both"/>
    </w:pPr>
    <w:rPr>
      <w:rFonts w:ascii="Arial" w:hAnsi="Arial" w:cs="Arial"/>
      <w:sz w:val="22"/>
    </w:rPr>
  </w:style>
  <w:style w:type="paragraph" w:customStyle="1" w:styleId="Corpsdetexte21">
    <w:name w:val="Corps de texte 21"/>
    <w:basedOn w:val="Normal"/>
    <w:qFormat/>
    <w:rsid w:val="00D01807"/>
    <w:pPr>
      <w:jc w:val="both"/>
    </w:pPr>
    <w:rPr>
      <w:rFonts w:ascii="Arial" w:hAnsi="Arial" w:cs="Arial"/>
      <w:sz w:val="16"/>
    </w:rPr>
  </w:style>
  <w:style w:type="paragraph" w:customStyle="1" w:styleId="FootnoteText">
    <w:name w:val="Footnote Text"/>
    <w:basedOn w:val="Normal"/>
    <w:rsid w:val="00D01807"/>
  </w:style>
  <w:style w:type="paragraph" w:customStyle="1" w:styleId="EnvelopeAddress">
    <w:name w:val="Envelope Address"/>
    <w:basedOn w:val="Normal"/>
    <w:rsid w:val="00D01807"/>
  </w:style>
  <w:style w:type="paragraph" w:customStyle="1" w:styleId="Contenuducadre">
    <w:name w:val="Contenu du cadre"/>
    <w:basedOn w:val="Corpsdetexte"/>
    <w:qFormat/>
    <w:rsid w:val="00D01807"/>
  </w:style>
  <w:style w:type="paragraph" w:customStyle="1" w:styleId="Retraitcorpsdetexte21">
    <w:name w:val="Retrait corps de texte 21"/>
    <w:basedOn w:val="Normal"/>
    <w:qFormat/>
    <w:rsid w:val="00D01807"/>
    <w:pPr>
      <w:spacing w:before="120" w:after="120"/>
      <w:ind w:firstLine="851"/>
      <w:jc w:val="both"/>
    </w:pPr>
    <w:rPr>
      <w:rFonts w:ascii="Arial" w:hAnsi="Arial" w:cs="Arial"/>
      <w:sz w:val="22"/>
    </w:rPr>
  </w:style>
  <w:style w:type="paragraph" w:customStyle="1" w:styleId="Header">
    <w:name w:val="Header"/>
    <w:basedOn w:val="Normal"/>
    <w:rsid w:val="00D01807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qFormat/>
    <w:rsid w:val="00D01807"/>
    <w:pPr>
      <w:tabs>
        <w:tab w:val="center" w:pos="1418"/>
        <w:tab w:val="left" w:pos="3969"/>
        <w:tab w:val="center" w:pos="7921"/>
      </w:tabs>
      <w:spacing w:line="240" w:lineRule="atLeast"/>
      <w:ind w:left="1701" w:right="339" w:firstLine="1134"/>
      <w:jc w:val="both"/>
    </w:pPr>
    <w:rPr>
      <w:rFonts w:ascii="Comic Sans MS" w:hAnsi="Comic Sans MS" w:cs="Comic Sans MS"/>
    </w:rPr>
  </w:style>
  <w:style w:type="paragraph" w:customStyle="1" w:styleId="Lgende1">
    <w:name w:val="Légende1"/>
    <w:basedOn w:val="Normal"/>
    <w:qFormat/>
    <w:rsid w:val="00D01807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qFormat/>
    <w:rsid w:val="00D018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itation">
    <w:name w:val="Quote"/>
    <w:basedOn w:val="Normal"/>
    <w:qFormat/>
    <w:rsid w:val="00D01807"/>
    <w:pPr>
      <w:spacing w:after="283"/>
      <w:ind w:left="567" w:right="567"/>
    </w:pPr>
  </w:style>
  <w:style w:type="paragraph" w:styleId="Sous-titre">
    <w:name w:val="Subtitle"/>
    <w:basedOn w:val="Titre"/>
    <w:next w:val="Corpsdetexte"/>
    <w:qFormat/>
    <w:rsid w:val="00D01807"/>
    <w:rPr>
      <w:i/>
      <w:iCs/>
      <w:sz w:val="28"/>
      <w:szCs w:val="28"/>
    </w:rPr>
  </w:style>
  <w:style w:type="paragraph" w:customStyle="1" w:styleId="Contenudecadre">
    <w:name w:val="Contenu de cadre"/>
    <w:basedOn w:val="Corpsdetexte"/>
    <w:qFormat/>
    <w:rsid w:val="00D01807"/>
  </w:style>
  <w:style w:type="paragraph" w:customStyle="1" w:styleId="Lgende2">
    <w:name w:val="Légende2"/>
    <w:basedOn w:val="Normal"/>
    <w:qFormat/>
    <w:rsid w:val="00D01807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qFormat/>
    <w:rsid w:val="00D018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3">
    <w:name w:val="Légende3"/>
    <w:basedOn w:val="Normal"/>
    <w:qFormat/>
    <w:rsid w:val="00D01807"/>
    <w:pPr>
      <w:suppressLineNumbers/>
      <w:spacing w:before="120" w:after="120"/>
    </w:pPr>
    <w:rPr>
      <w:rFonts w:cs="Mangal"/>
      <w:i/>
      <w:iCs/>
    </w:rPr>
  </w:style>
  <w:style w:type="paragraph" w:customStyle="1" w:styleId="Titre3">
    <w:name w:val="Titre3"/>
    <w:basedOn w:val="Normal"/>
    <w:next w:val="Corpsdetexte"/>
    <w:qFormat/>
    <w:rsid w:val="00D018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numbering" w:customStyle="1" w:styleId="WW8Num1">
    <w:name w:val="WW8Num1"/>
    <w:qFormat/>
    <w:rsid w:val="00D01807"/>
  </w:style>
  <w:style w:type="numbering" w:customStyle="1" w:styleId="WW8Num2">
    <w:name w:val="WW8Num2"/>
    <w:qFormat/>
    <w:rsid w:val="00D01807"/>
  </w:style>
  <w:style w:type="numbering" w:customStyle="1" w:styleId="WW8Num3">
    <w:name w:val="WW8Num3"/>
    <w:qFormat/>
    <w:rsid w:val="00D01807"/>
  </w:style>
  <w:style w:type="character" w:styleId="Lienhypertexte">
    <w:name w:val="Hyperlink"/>
    <w:basedOn w:val="Policepardfaut"/>
    <w:uiPriority w:val="99"/>
    <w:semiHidden/>
    <w:unhideWhenUsed/>
    <w:rsid w:val="00D7164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71642"/>
    <w:rPr>
      <w:b/>
      <w:bCs/>
    </w:rPr>
  </w:style>
  <w:style w:type="paragraph" w:customStyle="1" w:styleId="sdfootnote-western">
    <w:name w:val="sdfootnote-western"/>
    <w:basedOn w:val="Normal"/>
    <w:rsid w:val="00D71642"/>
    <w:pPr>
      <w:suppressAutoHyphens w:val="0"/>
      <w:spacing w:before="100" w:beforeAutospacing="1"/>
    </w:pPr>
    <w:rPr>
      <w:color w:val="000000"/>
      <w:kern w:val="0"/>
      <w:lang w:eastAsia="fr-FR"/>
    </w:rPr>
  </w:style>
  <w:style w:type="character" w:customStyle="1" w:styleId="fontstyle01">
    <w:name w:val="fontstyle01"/>
    <w:basedOn w:val="Policepardfaut"/>
    <w:rsid w:val="004752DB"/>
    <w:rPr>
      <w:rFonts w:ascii="Helvetica" w:hAnsi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4752D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2512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N°__/SDTR/DAAF/2011</vt:lpstr>
    </vt:vector>
  </TitlesOfParts>
  <Company/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N°__/SDTR/DAAF/2011</dc:title>
  <dc:creator>bruno</dc:creator>
  <cp:lastModifiedBy>bruno</cp:lastModifiedBy>
  <cp:revision>2</cp:revision>
  <dcterms:created xsi:type="dcterms:W3CDTF">2022-11-09T15:49:00Z</dcterms:created>
  <dcterms:modified xsi:type="dcterms:W3CDTF">2022-11-09T15:49:00Z</dcterms:modified>
  <dc:language>fr-FR</dc:language>
</cp:coreProperties>
</file>