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26" w:rsidRPr="002E4BE0" w:rsidRDefault="007B7E26" w:rsidP="007B7E26">
      <w:pPr>
        <w:rPr>
          <w:rStyle w:val="fontstyle21"/>
          <w:rFonts w:ascii="Times New Roman" w:hAnsi="Times New Roman"/>
          <w:sz w:val="24"/>
          <w:szCs w:val="24"/>
        </w:rPr>
      </w:pPr>
      <w:r w:rsidRPr="007B7E26">
        <w:rPr>
          <w:color w:val="0864A5"/>
          <w:sz w:val="18"/>
          <w:szCs w:val="18"/>
        </w:rPr>
        <w:br/>
      </w:r>
      <w:r w:rsidRPr="002E4BE0">
        <w:rPr>
          <w:rStyle w:val="fontstyle21"/>
          <w:rFonts w:ascii="Times New Roman" w:hAnsi="Times New Roman"/>
          <w:color w:val="auto"/>
          <w:sz w:val="24"/>
          <w:szCs w:val="24"/>
        </w:rPr>
        <w:t>Communauté de Communes</w:t>
      </w:r>
      <w:r w:rsidRPr="002E4BE0">
        <w:rPr>
          <w:b/>
          <w:bCs/>
          <w:sz w:val="24"/>
          <w:szCs w:val="24"/>
        </w:rPr>
        <w:br/>
      </w:r>
      <w:r w:rsidRPr="002E4BE0">
        <w:rPr>
          <w:rStyle w:val="fontstyle21"/>
          <w:rFonts w:ascii="Times New Roman" w:hAnsi="Times New Roman"/>
          <w:color w:val="auto"/>
          <w:sz w:val="24"/>
          <w:szCs w:val="24"/>
        </w:rPr>
        <w:t>du Sud (976</w:t>
      </w:r>
      <w:proofErr w:type="gramStart"/>
      <w:r w:rsidRPr="002E4BE0">
        <w:rPr>
          <w:rStyle w:val="fontstyle21"/>
          <w:rFonts w:ascii="Times New Roman" w:hAnsi="Times New Roman"/>
          <w:color w:val="auto"/>
          <w:sz w:val="24"/>
          <w:szCs w:val="24"/>
        </w:rPr>
        <w:t>)</w:t>
      </w:r>
      <w:proofErr w:type="gramEnd"/>
      <w:r w:rsidRPr="002E4BE0">
        <w:rPr>
          <w:b/>
          <w:bCs/>
          <w:sz w:val="24"/>
          <w:szCs w:val="24"/>
        </w:rPr>
        <w:br/>
      </w:r>
      <w:r w:rsidRPr="002E4BE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Ancienne mairie de </w:t>
      </w:r>
      <w:proofErr w:type="spellStart"/>
      <w:r w:rsidRPr="002E4BE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Bandrélé</w:t>
      </w:r>
      <w:proofErr w:type="spellEnd"/>
      <w:r w:rsidRPr="002E4BE0">
        <w:rPr>
          <w:sz w:val="24"/>
          <w:szCs w:val="24"/>
        </w:rPr>
        <w:br/>
      </w:r>
      <w:r w:rsidRPr="002E4BE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97660 </w:t>
      </w:r>
      <w:proofErr w:type="spellStart"/>
      <w:r w:rsidRPr="002E4BE0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Bandrélé</w:t>
      </w:r>
      <w:proofErr w:type="spellEnd"/>
      <w:r w:rsidRPr="002E4BE0">
        <w:rPr>
          <w:sz w:val="24"/>
          <w:szCs w:val="24"/>
        </w:rPr>
        <w:br/>
      </w:r>
      <w:r w:rsidRPr="002E4BE0">
        <w:rPr>
          <w:rStyle w:val="fontstyle21"/>
          <w:rFonts w:ascii="Times New Roman" w:hAnsi="Times New Roman"/>
          <w:color w:val="auto"/>
          <w:sz w:val="24"/>
          <w:szCs w:val="24"/>
        </w:rPr>
        <w:t>AVIS DE MARCHÉ</w:t>
      </w:r>
      <w:r w:rsidRPr="002E4BE0">
        <w:rPr>
          <w:b/>
          <w:bCs/>
          <w:sz w:val="24"/>
          <w:szCs w:val="24"/>
        </w:rPr>
        <w:br/>
      </w:r>
      <w:r w:rsidRPr="002E4BE0">
        <w:rPr>
          <w:rStyle w:val="fontstyle21"/>
          <w:rFonts w:ascii="Times New Roman" w:hAnsi="Times New Roman"/>
          <w:color w:val="auto"/>
          <w:sz w:val="24"/>
          <w:szCs w:val="24"/>
        </w:rPr>
        <w:t>SERVICES</w:t>
      </w:r>
      <w:r w:rsidRPr="002E4BE0">
        <w:rPr>
          <w:b/>
          <w:bCs/>
          <w:color w:val="0864A5"/>
          <w:sz w:val="24"/>
          <w:szCs w:val="24"/>
        </w:rPr>
        <w:br/>
      </w:r>
      <w:r w:rsidRPr="002E4BE0">
        <w:rPr>
          <w:rStyle w:val="fontstyle21"/>
          <w:rFonts w:ascii="Times New Roman" w:hAnsi="Times New Roman"/>
          <w:sz w:val="24"/>
          <w:szCs w:val="24"/>
        </w:rPr>
        <w:t>DIRECTIVE 2014/24/UE</w:t>
      </w:r>
    </w:p>
    <w:p w:rsidR="007B7E26" w:rsidRDefault="007B7E26" w:rsidP="007B7E26">
      <w:pPr>
        <w:rPr>
          <w:rStyle w:val="fontstyle21"/>
          <w:rFonts w:ascii="Times New Roman" w:hAnsi="Times New Roman"/>
          <w:color w:val="9A1E4A"/>
        </w:rPr>
      </w:pP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9A1E4A"/>
        </w:rPr>
        <w:t>Section I : Pouvoir adjudicateur</w:t>
      </w:r>
      <w:r w:rsidRPr="007B7E26">
        <w:rPr>
          <w:b/>
          <w:bCs/>
          <w:color w:val="9A1E4A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I.1) NOM ET ADRESSES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Communauté de Communes du Sud (976), Contact : Ancienne Mairie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Bandrélé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, 43, rue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Mkoumaféjou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, 97660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Bandrélé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, FRANCE.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Tél. : +33 269622744. Courriel : contact@ccsud.yt. Code NUTS : FRY5.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Adresse(s) internet </w:t>
      </w:r>
      <w:proofErr w:type="gramStart"/>
      <w:r w:rsidRPr="007B7E26">
        <w:rPr>
          <w:rStyle w:val="fontstyle21"/>
          <w:rFonts w:ascii="Times New Roman" w:hAnsi="Times New Roman"/>
        </w:rPr>
        <w:t>:</w:t>
      </w:r>
      <w:proofErr w:type="gramEnd"/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Adresse principale :https://www.ccsud.yt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Adresse du profil d'acheteur : https://www.marches-securises.fr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I.2) PROCÉDURE CONJOINTE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I.3) COMMUNICATION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Les documents du marché sont disponibles gratuitement en accès direct non restreint et complet : https://www.marches-securises.fr/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Adresse à laquelle des informations complémentaires peuvent être obtenues :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Point(s) de contact susmentionné(s).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Adresse à laquelle les offres ou demandes de participation doivent être envoyées </w:t>
      </w:r>
      <w:proofErr w:type="gramStart"/>
      <w:r w:rsidRPr="007B7E26">
        <w:rPr>
          <w:rStyle w:val="fontstyle21"/>
          <w:rFonts w:ascii="Times New Roman" w:hAnsi="Times New Roman"/>
        </w:rPr>
        <w:t>:</w:t>
      </w:r>
      <w:proofErr w:type="gramEnd"/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Point(s) de contact susmentionné(s).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I.4) TYPE DE POUVOIR ADJUDICATEUR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Autorité régionale ou locale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I.5) ACTIVITÉ PRINCIPALE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Services généraux des administrations publiques</w:t>
      </w:r>
      <w:r w:rsidRPr="007B7E26">
        <w:rPr>
          <w:color w:val="000000"/>
          <w:sz w:val="18"/>
          <w:szCs w:val="18"/>
        </w:rPr>
        <w:br/>
      </w:r>
    </w:p>
    <w:p w:rsidR="007B7E26" w:rsidRDefault="007B7E26" w:rsidP="007B7E26">
      <w:pPr>
        <w:rPr>
          <w:rStyle w:val="fontstyle21"/>
          <w:rFonts w:ascii="Times New Roman" w:hAnsi="Times New Roman"/>
          <w:color w:val="9A1E4A"/>
        </w:rPr>
      </w:pPr>
      <w:r w:rsidRPr="007B7E26">
        <w:rPr>
          <w:rStyle w:val="fontstyle21"/>
          <w:rFonts w:ascii="Times New Roman" w:hAnsi="Times New Roman"/>
          <w:color w:val="9A1E4A"/>
        </w:rPr>
        <w:t>Section II : Objet</w:t>
      </w:r>
      <w:r w:rsidRPr="007B7E26">
        <w:rPr>
          <w:b/>
          <w:bCs/>
          <w:color w:val="9A1E4A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II.1) ÉTENDUE DU MARCHÉ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II.1.1) Intitulé :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Marché de Mandat pour l'aménagement d'un quartier durable à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-Bé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II.1.2) Code CPV principal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71000000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II.1.3) Type de marché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Services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II.1.4) Description succincte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Marché de Mandat pour l'aménagement d'un quartier durable à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-Bé. Le projet porte sur l'aménagement d'un quartier nouveau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répondant aux ambitions d'un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écoquartier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en extension du village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-Bé, en veillant à ce que l'ancien et le nouveau quartier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cohabitent de manière harmonieuse, et en développant la complémentarité avec le village voisin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Kéli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. La prise en compte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enjeux liés au développement durable est au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coeur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des réflexions sur ce projet. L'enveloppe financière prévisionnelle pour l'ensemble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des études et des travaux est de 26 millions d'euros.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II.1.5) Valeur totale estimée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II.1.6) Informations sur les lots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Division en lots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II.2) DESCRIPTION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II.2.2) Code(s) CPV additionnel(s)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45111291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II.2.3) Lieu d'exécution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Code NUTS : FRY50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Lieu principal d'exécution :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Bé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Commune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Kéli</w:t>
      </w:r>
      <w:proofErr w:type="spellEnd"/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II.2.4) Description des prestations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Marché de Mandat pour l'aménagement d'un quartier durable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-Bé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 mandataire assurera le pilotage et la gestion administrative, technique et financière de l’ensemble des études et des travaux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viabilisation pour la réalisation du projet d'aménagement d'un quartier durable à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Kani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-Bé au nom et pour le compte du Mandant.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II.2.5) Critères d'attribution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Prix : </w:t>
      </w:r>
      <w:r w:rsidRPr="007B7E26">
        <w:rPr>
          <w:rStyle w:val="fontstyle01"/>
          <w:rFonts w:ascii="Times New Roman" w:hAnsi="Times New Roman" w:cs="Times New Roman"/>
          <w:color w:val="000000"/>
        </w:rPr>
        <w:t>50%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Qualité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Valeur technique : 50%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II.2.6) Valeur estimée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II.2.7) Durée du marché, de l'accord-cadre ou du système d'acquisition dynamique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Durée en mois : 36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lastRenderedPageBreak/>
        <w:t xml:space="preserve">Ce marché peut faire l'objet d'une reconduction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II.2.9) Informations sur les limites concernant le nombre de candidats invités à participer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Nombre minimal d'</w:t>
      </w:r>
      <w:proofErr w:type="spellStart"/>
      <w:r w:rsidRPr="007B7E26">
        <w:rPr>
          <w:rStyle w:val="fontstyle21"/>
          <w:rFonts w:ascii="Times New Roman" w:hAnsi="Times New Roman"/>
        </w:rPr>
        <w:t>opérateursenvisagé</w:t>
      </w:r>
      <w:proofErr w:type="spellEnd"/>
      <w:r w:rsidRPr="007B7E26">
        <w:rPr>
          <w:rStyle w:val="fontstyle21"/>
          <w:rFonts w:ascii="Times New Roman" w:hAnsi="Times New Roman"/>
        </w:rPr>
        <w:t xml:space="preserve"> </w:t>
      </w:r>
      <w:proofErr w:type="gramStart"/>
      <w:r w:rsidRPr="007B7E26">
        <w:rPr>
          <w:rStyle w:val="fontstyle21"/>
          <w:rFonts w:ascii="Times New Roman" w:hAnsi="Times New Roman"/>
        </w:rPr>
        <w:t xml:space="preserve">: </w:t>
      </w:r>
      <w:r w:rsidRPr="007B7E26">
        <w:rPr>
          <w:rStyle w:val="fontstyle01"/>
          <w:rFonts w:ascii="Times New Roman" w:hAnsi="Times New Roman" w:cs="Times New Roman"/>
          <w:color w:val="000000"/>
        </w:rPr>
        <w:t>.</w:t>
      </w:r>
      <w:proofErr w:type="gram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21"/>
          <w:rFonts w:ascii="Times New Roman" w:hAnsi="Times New Roman"/>
        </w:rPr>
        <w:t xml:space="preserve">Nombre maximal : </w:t>
      </w:r>
      <w:r w:rsidRPr="007B7E26">
        <w:rPr>
          <w:rStyle w:val="fontstyle01"/>
          <w:rFonts w:ascii="Times New Roman" w:hAnsi="Times New Roman" w:cs="Times New Roman"/>
          <w:color w:val="000000"/>
        </w:rPr>
        <w:t>3.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II.2.10) Variantes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Des variantes seront prises en considération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II.2.11) Informations sur les options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Options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II.2.12) Informations sur les catalogues électroniques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II.2.13) Information sur les fonds de l'Union européenne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Le contrat s'inscrit dans un projet/programme financé par des fonds de l'Union européenne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II.2.14) Informations complémentaires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Critère 2.valeur technique contient les sous critères suivants :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2.1-Moyens humains et Moyens matériels 25 %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2.2-Méthodologie d'exécution des prestations 25%</w:t>
      </w:r>
      <w:r w:rsidRPr="007B7E26">
        <w:rPr>
          <w:color w:val="000000"/>
          <w:sz w:val="18"/>
          <w:szCs w:val="18"/>
        </w:rPr>
        <w:br/>
      </w:r>
    </w:p>
    <w:p w:rsidR="007B7E26" w:rsidRDefault="007B7E26" w:rsidP="007B7E26">
      <w:pPr>
        <w:rPr>
          <w:rStyle w:val="fontstyle21"/>
          <w:rFonts w:ascii="Times New Roman" w:hAnsi="Times New Roman"/>
          <w:color w:val="9A1E4A"/>
        </w:rPr>
      </w:pPr>
      <w:r w:rsidRPr="007B7E26">
        <w:rPr>
          <w:rStyle w:val="fontstyle21"/>
          <w:rFonts w:ascii="Times New Roman" w:hAnsi="Times New Roman"/>
          <w:color w:val="9A1E4A"/>
        </w:rPr>
        <w:t>Section III : Renseignements d'ordre juridique, économique, financier et technique</w:t>
      </w:r>
      <w:r w:rsidRPr="007B7E26">
        <w:rPr>
          <w:b/>
          <w:bCs/>
          <w:color w:val="9A1E4A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III.1) CONDITIONS DE PARTICIPATION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III.1.1) Habilitation à exercer l'activité professionnelle, y compris exigences relatives à l'inscription au registre du commerce ou de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la profession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Liste et description succincte des conditions :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 marché de mandat s’adresse aux candidats remplissant les conditions de participations définies ci-dessous, en termes d’organisation,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de capacités juridique, technique, professionnelle, économique et financière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Conformément à l’article R. 2142-25 du CCP, en cas de candidature présentée sous la forme d’un groupement, l’appréciation des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capacités est globale.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Les candidats peuvent répondre à la consultation à titre individuel ou sous la forme d’un groupement momentané </w:t>
      </w:r>
      <w:r>
        <w:rPr>
          <w:rStyle w:val="fontstyle01"/>
          <w:rFonts w:ascii="Times New Roman" w:hAnsi="Times New Roman" w:cs="Times New Roman"/>
          <w:color w:val="000000"/>
        </w:rPr>
        <w:t>d</w:t>
      </w:r>
      <w:r w:rsidRPr="007B7E26">
        <w:rPr>
          <w:rStyle w:val="fontstyle01"/>
          <w:rFonts w:ascii="Times New Roman" w:hAnsi="Times New Roman" w:cs="Times New Roman"/>
          <w:color w:val="000000"/>
        </w:rPr>
        <w:t>’entreprises.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Aucune forme de groupement n'est imposée par l’acheteur.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Dans le cas où les soumissionnaires se présenteraient sous la forme d’un groupement conjoint ou solidaire, l’acheteur exigera, après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attribution du marché, que la forme du groupement attributaire soit un groupement solidaire.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En application de l’article R. 2142-4 du CCP, un opérateur économique ne peut être mandataire que d’un seul groupement.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Les candidats ne peuvent entrer dans aucun des cas d’exclusions prévus aux articles L. 2141-1 à L2141-5 ou L. 2141-7 à L. 2141-10 du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CCP.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Lorsque le candidat est en situation de redressement judiciaire, il est dans l’obligation de préciser à quel stade en est la procédure.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III.1.2) Capacité économique et financière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Liste et description succincte des critères de sélection </w:t>
      </w:r>
      <w:proofErr w:type="gramStart"/>
      <w:r w:rsidRPr="007B7E26">
        <w:rPr>
          <w:rStyle w:val="fontstyle21"/>
          <w:rFonts w:ascii="Times New Roman" w:hAnsi="Times New Roman"/>
        </w:rPr>
        <w:t>:</w:t>
      </w:r>
      <w:proofErr w:type="gramEnd"/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 candidat doit présenter des garanties économiques et financières suffisantes en rapport aux prestations confiées dans le cadre du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marché de mandat.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CA des 5 dernières années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En application de l’article 3 de l’ordonnance du 17 juin 2020, l’acheteur ne tiendra pas compte des variations de chiffre d’affaires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consécutives à la crise sanitaire liée à l’épidémie de </w:t>
      </w:r>
      <w:proofErr w:type="spellStart"/>
      <w:r w:rsidRPr="007B7E26">
        <w:rPr>
          <w:rStyle w:val="fontstyle01"/>
          <w:rFonts w:ascii="Times New Roman" w:hAnsi="Times New Roman" w:cs="Times New Roman"/>
          <w:color w:val="000000"/>
        </w:rPr>
        <w:t>Covid</w:t>
      </w:r>
      <w:proofErr w:type="spellEnd"/>
      <w:r w:rsidRPr="007B7E26">
        <w:rPr>
          <w:rStyle w:val="fontstyle01"/>
          <w:rFonts w:ascii="Times New Roman" w:hAnsi="Times New Roman" w:cs="Times New Roman"/>
          <w:color w:val="000000"/>
        </w:rPr>
        <w:t>-19.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Les opérateurs économiques nouvellement créés doivent apporter la preuve de leurs capacités financières par tout moyen de preuve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approprié, notamment par une déclaration appropriée de banques.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Niveau(x) spécifique(s) minimal/aux exigé(s) </w:t>
      </w:r>
      <w:proofErr w:type="gramStart"/>
      <w:r w:rsidRPr="007B7E26">
        <w:rPr>
          <w:rStyle w:val="fontstyle21"/>
          <w:rFonts w:ascii="Times New Roman" w:hAnsi="Times New Roman"/>
        </w:rPr>
        <w:t>:</w:t>
      </w:r>
      <w:proofErr w:type="gramEnd"/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La moyenne du CA du candidat mandataire sur les 5 dernières années sera au minimum de 1 500 000€ HT et de 3 000 000€HT pour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l'ensemble du groupement.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III.1.3) Capacité technique et professionnelle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Liste et description succincte des critères de sélection, indication des informations et documents requis :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Liste des principales prestations effectuées au cours des 5 dernières années, indiquant le montant, la date et le destinataire. Elles sont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prouvées par des attestations du destinataire ou, à défaut, par une déclaration du candidat.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présentation de moyens techniques, notamment numériques (matériels et logiciels).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-présentation de moyens humains et notamment des cadres et responsables de prestation de services ou de conduite des travaux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même nature que celle du contrat.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 candidat ou le groupement doit également disposer les compétences suivantes :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montage, gestion et suivi de projets d'aménagement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maîtrise des procédures administratives et des réglementations (droit de l’urbanisme, de l'immobilier, de la construction, de l’environnement)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maîtrise de la gestion financière et administrative des projets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maîtrise des techniques de concertation et de négociation foncière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Niveau(x) spécifique(s) minimal(aux) exigé(s) :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Réalisation de missions de complexité comparables à l’objet du présent marché.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III.1.5) Informations sur les marchés réservés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Marché réservé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III.2) CONDITIONS LIÉES AU MARCHÉ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III.2.1) Informations relatives à la profession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III.2.2) Conditions particulières d'exécution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III.2.3) Informations sur les membres du personnel responsables de l'exécution du marché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lastRenderedPageBreak/>
        <w:t>Obligation d'indiquer les noms et qualifications professionnelles des membres du personnel chargés de l'exécution du marché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III.2.4) Marché éligible au MPS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La transmission et la vérification des documents de candidatures peut être effectuée par le dispositif Marché public simplifié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sur présentation du numéro de SIRET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9A1E4A"/>
        </w:rPr>
        <w:t>Section IV : Procédure</w:t>
      </w:r>
      <w:r w:rsidRPr="007B7E26">
        <w:rPr>
          <w:b/>
          <w:bCs/>
          <w:color w:val="9A1E4A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IV.1) DESCRIPTION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IV.1.1) Type de procédure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Procédure concurrentielle avec négociation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IV.1.3) Information sur l'accord-cadre ou le système d'acquisition dynamique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IV.1.4) Informations sur la réduction du nombre de solutions ou d'offres durant la négociation ou le dialogue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Recours à une procédure se déroulant en phases successives afin de réduire progressivement le nombre des solutions à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discuter ou des offres à négocier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IV.1.5) Information sur la négociation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IV.1.6) Enchère électronique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Une enchère électronique sera effectuée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IV.1.8) Marché couvert par l'accord sur les marchés publics (AMP)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IV.2) RENSEIGNEMENTS D'ORDRE ADMINISTRATIF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IV.2.1) Publication(s) antérieure(s) relatives à la présente procédure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IV.2.2) Date limite de réception des offres ou des demandes de participation :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Mardi 17 janvier 2023 - 12:00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IV.2.3) Date d'envoi des invitations à soumissionner ou à participer aux candidats sélectionnés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IV.2.4) Langue(s) pouvant être utilisée(s) dans l'offre ou la demande de participation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français.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IV.2.6) Délai minimal pendant lequel le soumissionnaire est tenu de maintenir son offre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Durée en mois : </w:t>
      </w:r>
      <w:r w:rsidRPr="007B7E26">
        <w:rPr>
          <w:rStyle w:val="fontstyle01"/>
          <w:rFonts w:ascii="Times New Roman" w:hAnsi="Times New Roman" w:cs="Times New Roman"/>
          <w:color w:val="000000"/>
        </w:rPr>
        <w:t>4 (à compter de la date limite de réception des offres).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IV.2.7) Modalités d'ouverture des offres</w:t>
      </w:r>
      <w:r w:rsidRPr="007B7E26">
        <w:rPr>
          <w:b/>
          <w:bCs/>
          <w:color w:val="000000"/>
          <w:sz w:val="18"/>
          <w:szCs w:val="18"/>
        </w:rPr>
        <w:br/>
      </w:r>
    </w:p>
    <w:p w:rsidR="006E54CC" w:rsidRPr="007B7E26" w:rsidRDefault="007B7E26" w:rsidP="007B7E26">
      <w:pPr>
        <w:rPr>
          <w:sz w:val="18"/>
          <w:szCs w:val="18"/>
        </w:rPr>
      </w:pPr>
      <w:r w:rsidRPr="007B7E26">
        <w:rPr>
          <w:rStyle w:val="fontstyle21"/>
          <w:rFonts w:ascii="Times New Roman" w:hAnsi="Times New Roman"/>
          <w:color w:val="9A1E4A"/>
        </w:rPr>
        <w:t>Section VI : Renseignements complémentaires</w:t>
      </w:r>
      <w:r w:rsidRPr="007B7E26">
        <w:rPr>
          <w:b/>
          <w:bCs/>
          <w:color w:val="9A1E4A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VI.1) RENOUVELLEMENT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 xml:space="preserve">Il s'agit d'un marché renouvelable : </w:t>
      </w:r>
      <w:r w:rsidRPr="007B7E26">
        <w:rPr>
          <w:rStyle w:val="fontstyle01"/>
          <w:rFonts w:ascii="Times New Roman" w:hAnsi="Times New Roman" w:cs="Times New Roman"/>
          <w:color w:val="000000"/>
        </w:rPr>
        <w:t>non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VI.2) INFORMATIONS SUR LES ÉCHANGES ÉLECTRONIQUES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VI.3) INFORMATIONS COMPLÉMENTAIRES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Les candidats doivent fournir des documents rédigés en langue française ou accompagnés d'une traduction en français certifiée</w:t>
      </w:r>
      <w:r w:rsidR="0099441A"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conforme à l'original par un traducteur assermenté.</w:t>
      </w:r>
      <w:r w:rsidRPr="007B7E26">
        <w:rPr>
          <w:color w:val="CCCCCC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Lorsque le candidat se présente en groupement, les documents exigés au point 3 sont fournis pour l’ensemble du groupement.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- En sus des documents réclamés, le candidat fournit une lettre de candidature (DC1 ou format libre) établie par le candidat individuel ou le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mandataire en cas de groupement, comportant l’ensemble des indications permettant d’identifier le candidat ou l’ensemble des membres en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cas de réponse en groupement et un DC2.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La procédure est organisée en 2 phases comme suit </w:t>
      </w:r>
      <w:proofErr w:type="gramStart"/>
      <w:r w:rsidRPr="007B7E26">
        <w:rPr>
          <w:rStyle w:val="fontstyle01"/>
          <w:rFonts w:ascii="Times New Roman" w:hAnsi="Times New Roman" w:cs="Times New Roman"/>
          <w:color w:val="000000"/>
        </w:rPr>
        <w:t>:</w:t>
      </w:r>
      <w:proofErr w:type="gramEnd"/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1ère phase candidature : les candidats remettent un dossier de candidature complet permettant de vérifier les conditions de participation et de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mettre en œuvre les critères de sélection définis dans l'avis. Les dossiers de candidatures seront analysés par la CAO.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En application de l’article R. 2144-2 du CCP, si des pièces ou informations dont la présentation était réclamée au titre de la candidature sont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absentes ou incomplètes, l’acheteur pourra demander à tous les candidats concernés de compléter leur dossier de candidature dans un délai</w:t>
      </w:r>
      <w:r>
        <w:rPr>
          <w:rStyle w:val="fontstyle01"/>
          <w:rFonts w:ascii="Times New Roman" w:hAnsi="Times New Roman" w:cs="Times New Roman"/>
          <w:color w:val="000000"/>
        </w:rPr>
        <w:t xml:space="preserve"> </w:t>
      </w:r>
      <w:r w:rsidRPr="007B7E26">
        <w:rPr>
          <w:rStyle w:val="fontstyle01"/>
          <w:rFonts w:ascii="Times New Roman" w:hAnsi="Times New Roman" w:cs="Times New Roman"/>
          <w:color w:val="000000"/>
        </w:rPr>
        <w:t>de 5 jours.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Après analyse, la CAO retiendra aux maximum 3 candidats qui recevront par la suite le DCE pour réponse.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2nde phase Offre : remise lettre d'invitation et DCE aux candidats retenus. Des négociations pourront être engagées conformément au RC.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VI.4) PROCÉDURES DE RECOURS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VI.4.1) Instance chargée des procédures de recours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Tribunal Administratif Les Hauts des Jardins du </w:t>
      </w:r>
      <w:proofErr w:type="gramStart"/>
      <w:r w:rsidRPr="007B7E26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97600 MAMOUDZOU MAYOTTE. Tél. +33 269611856. E-mail :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greffe.ta-mayotte@juradm.fr. Fax +33 269611862. Adresse internet : http://mayotte.tribunal-administratif.fr/.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VI.4.2) Organe chargé des procédures de médiation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VI.4.3) Introduction des recours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</w:rPr>
        <w:t>VI.4.4) Service auprès duquel des renseignements peuvent être obtenus concernant l'introduction des recours</w:t>
      </w:r>
      <w:r w:rsidRPr="007B7E26">
        <w:rPr>
          <w:b/>
          <w:bCs/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 xml:space="preserve">Tribunal Administratif Les Hauts des Jardins du </w:t>
      </w:r>
      <w:proofErr w:type="gramStart"/>
      <w:r w:rsidRPr="007B7E26">
        <w:rPr>
          <w:rStyle w:val="fontstyle01"/>
          <w:rFonts w:ascii="Times New Roman" w:hAnsi="Times New Roman" w:cs="Times New Roman"/>
          <w:color w:val="000000"/>
        </w:rPr>
        <w:t>Collège ,</w:t>
      </w:r>
      <w:proofErr w:type="gramEnd"/>
      <w:r w:rsidRPr="007B7E26">
        <w:rPr>
          <w:rStyle w:val="fontstyle01"/>
          <w:rFonts w:ascii="Times New Roman" w:hAnsi="Times New Roman" w:cs="Times New Roman"/>
          <w:color w:val="000000"/>
        </w:rPr>
        <w:t xml:space="preserve"> 97600 MAMOUDZOU MAYOTTE. Tél. +33 269611856. E-mail :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greffe.ta-mayotte@juradm.fr. Fax +33 269611862. Adresse internet : http://mayotte.tribunal-administratif.fr/.</w:t>
      </w:r>
      <w:r w:rsidRPr="007B7E26">
        <w:rPr>
          <w:color w:val="000000"/>
          <w:sz w:val="18"/>
          <w:szCs w:val="18"/>
        </w:rPr>
        <w:br/>
      </w:r>
      <w:r w:rsidRPr="007B7E26">
        <w:rPr>
          <w:rStyle w:val="fontstyle21"/>
          <w:rFonts w:ascii="Times New Roman" w:hAnsi="Times New Roman"/>
          <w:color w:val="0864A5"/>
        </w:rPr>
        <w:t>VI.5) DATE D'ENVOI DU PRÉSENT AVIS</w:t>
      </w:r>
      <w:r w:rsidRPr="007B7E26">
        <w:rPr>
          <w:b/>
          <w:bCs/>
          <w:color w:val="0864A5"/>
          <w:sz w:val="18"/>
          <w:szCs w:val="18"/>
        </w:rPr>
        <w:br/>
      </w:r>
      <w:r w:rsidRPr="007B7E26">
        <w:rPr>
          <w:rStyle w:val="fontstyle01"/>
          <w:rFonts w:ascii="Times New Roman" w:hAnsi="Times New Roman" w:cs="Times New Roman"/>
          <w:color w:val="000000"/>
        </w:rPr>
        <w:t>10 novembre 2022</w:t>
      </w:r>
    </w:p>
    <w:sectPr w:rsidR="006E54CC" w:rsidRPr="007B7E26" w:rsidSect="006E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697"/>
    <w:rsid w:val="00032697"/>
    <w:rsid w:val="002B228B"/>
    <w:rsid w:val="002E4BE0"/>
    <w:rsid w:val="00506E02"/>
    <w:rsid w:val="006E54CC"/>
    <w:rsid w:val="007B7E26"/>
    <w:rsid w:val="0099441A"/>
    <w:rsid w:val="00EE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28B"/>
    <w:pPr>
      <w:spacing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2B228B"/>
    <w:pPr>
      <w:keepNext/>
      <w:spacing w:before="120"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qFormat/>
    <w:rsid w:val="002B228B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032697"/>
    <w:rPr>
      <w:rFonts w:ascii="Helvetica" w:hAnsi="Helvetica" w:cs="Helvetica" w:hint="default"/>
      <w:b w:val="0"/>
      <w:bCs w:val="0"/>
      <w:i w:val="0"/>
      <w:iCs w:val="0"/>
      <w:color w:val="CCCCCC"/>
      <w:sz w:val="18"/>
      <w:szCs w:val="18"/>
    </w:rPr>
  </w:style>
  <w:style w:type="character" w:customStyle="1" w:styleId="fontstyle21">
    <w:name w:val="fontstyle21"/>
    <w:basedOn w:val="Policepardfaut"/>
    <w:rsid w:val="00032697"/>
    <w:rPr>
      <w:rFonts w:ascii="Helvetica-Bold" w:hAnsi="Helvetica-Bold" w:hint="default"/>
      <w:b/>
      <w:bCs/>
      <w:i w:val="0"/>
      <w:iCs w:val="0"/>
      <w:color w:val="000000"/>
      <w:sz w:val="18"/>
      <w:szCs w:val="18"/>
    </w:rPr>
  </w:style>
  <w:style w:type="character" w:customStyle="1" w:styleId="Titre1Car">
    <w:name w:val="Titre 1 Car"/>
    <w:basedOn w:val="Policepardfaut"/>
    <w:link w:val="Titre1"/>
    <w:rsid w:val="002B228B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2B228B"/>
    <w:rPr>
      <w:rFonts w:ascii="Arial" w:eastAsia="Times New Roman" w:hAnsi="Arial" w:cs="Times New Roman"/>
      <w:b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1724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2022-11-13T15:43:00Z</dcterms:created>
  <dcterms:modified xsi:type="dcterms:W3CDTF">2022-11-13T15:46:00Z</dcterms:modified>
</cp:coreProperties>
</file>