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E3" w:rsidRPr="000313E3" w:rsidRDefault="000313E3" w:rsidP="000313E3">
      <w:pPr>
        <w:rPr>
          <w:rStyle w:val="fontstyle21"/>
          <w:rFonts w:ascii="Times New Roman" w:hAnsi="Times New Roman" w:cs="Times New Roman"/>
          <w:sz w:val="24"/>
          <w:szCs w:val="24"/>
        </w:rPr>
      </w:pPr>
      <w:r w:rsidRPr="000313E3">
        <w:rPr>
          <w:rFonts w:ascii="Times New Roman" w:hAnsi="Times New Roman" w:cs="Times New Roman"/>
          <w:color w:val="0864A5"/>
          <w:sz w:val="24"/>
          <w:szCs w:val="24"/>
        </w:rPr>
        <w:br/>
      </w:r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Communauté</w:t>
      </w:r>
      <w:r w:rsidRPr="00031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d'Agglomération de</w:t>
      </w:r>
      <w:r w:rsidRPr="00031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Dembéni</w:t>
      </w:r>
      <w:proofErr w:type="spellEnd"/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-Mamoudzou (976</w:t>
      </w:r>
      <w:proofErr w:type="gramStart"/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)</w:t>
      </w:r>
      <w:proofErr w:type="gramEnd"/>
      <w:r w:rsidRPr="00031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Hôtel de Ville de Mamoudzou,</w:t>
      </w:r>
      <w:r w:rsidRPr="00031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BP 01 - Rue du Commerce</w:t>
      </w:r>
      <w:r w:rsidRPr="00031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97600 Mamoudzou</w:t>
      </w:r>
      <w:r w:rsidRPr="000313E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AVIS D'ATTRIBUTION</w:t>
      </w:r>
      <w:r w:rsidRPr="000313E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  <w:sz w:val="24"/>
          <w:szCs w:val="24"/>
        </w:rPr>
        <w:t>SERVICES</w:t>
      </w:r>
      <w:r w:rsidRPr="000313E3">
        <w:rPr>
          <w:rFonts w:ascii="Times New Roman" w:hAnsi="Times New Roman" w:cs="Times New Roman"/>
          <w:b/>
          <w:bCs/>
          <w:color w:val="0864A5"/>
          <w:sz w:val="24"/>
          <w:szCs w:val="24"/>
        </w:rPr>
        <w:br/>
      </w:r>
      <w:r w:rsidRPr="000313E3">
        <w:rPr>
          <w:rStyle w:val="fontstyle21"/>
          <w:rFonts w:ascii="Times New Roman" w:hAnsi="Times New Roman" w:cs="Times New Roman"/>
          <w:sz w:val="24"/>
          <w:szCs w:val="24"/>
        </w:rPr>
        <w:t>DIRECTIVE 2014/24/UE</w:t>
      </w:r>
    </w:p>
    <w:p w:rsidR="000701B8" w:rsidRDefault="000313E3" w:rsidP="000313E3">
      <w:pPr>
        <w:rPr>
          <w:rStyle w:val="fontstyle21"/>
          <w:rFonts w:ascii="Times New Roman" w:hAnsi="Times New Roman" w:cs="Times New Roman"/>
          <w:color w:val="9A1E4A"/>
        </w:rPr>
      </w:pP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9A1E4A"/>
        </w:rPr>
        <w:t>Section I : Pouvoir adjudicateur</w:t>
      </w:r>
      <w:r w:rsidRPr="000313E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I.1) NOM ET ADRESSES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Communauté d'Agglomération de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Dembéni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-Mamoudzou (976), Contact :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Moidjoumoi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MALIDI, 106 Boulevard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Halidi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Sélémani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>, 97600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Mamoudzou, FRANCE. Tél. : +33 269639100. Courriel : catherine.planty@cadema.yt. Code NUTS : FR</w:t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.</w:t>
      </w:r>
      <w:proofErr w:type="gramEnd"/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Adresse(s) internet :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Adresse principale :https://www.marches-securises.fr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I.2) PROCÉDURE CONJOINTE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I.4) TYPE DE POUVOIR ADJUDICATEUR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Organisme de droit public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I.5) ACTIVITÉ PRINCIPALE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Services généraux des administrations publiques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0701B8" w:rsidRDefault="000313E3" w:rsidP="000313E3">
      <w:pPr>
        <w:rPr>
          <w:rStyle w:val="fontstyle21"/>
          <w:rFonts w:ascii="Times New Roman" w:hAnsi="Times New Roman" w:cs="Times New Roman"/>
          <w:color w:val="9A1E4A"/>
        </w:rPr>
      </w:pPr>
      <w:r w:rsidRPr="000313E3">
        <w:rPr>
          <w:rStyle w:val="fontstyle21"/>
          <w:rFonts w:ascii="Times New Roman" w:hAnsi="Times New Roman" w:cs="Times New Roman"/>
          <w:color w:val="9A1E4A"/>
        </w:rPr>
        <w:t>Section II : Objet</w:t>
      </w:r>
      <w:r w:rsidRPr="000313E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II.1) ÉTENDUE DU MARCHÉ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II.1.1) Intitulé : </w:t>
      </w:r>
      <w:r w:rsidRPr="000313E3">
        <w:rPr>
          <w:rStyle w:val="fontstyle01"/>
          <w:rFonts w:ascii="Times New Roman" w:hAnsi="Times New Roman" w:cs="Times New Roman"/>
          <w:color w:val="000000"/>
        </w:rPr>
        <w:t>Mission de maîtrise d'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relative </w:t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au travaux</w:t>
      </w:r>
      <w:proofErr w:type="gram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de RHI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Mbarazi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>: Phase 1 aménagement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II.1.2) Code CPV principal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90611000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II.1.3) Type de marché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Services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II.1.4) Description succincte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La consultation concerne les études de maîtrise d'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d'aménagement des VRD et consolidation de la voirie, sur le secteur de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Cavani</w:t>
      </w:r>
      <w:proofErr w:type="spellEnd"/>
      <w:r w:rsidR="000701B8"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Sud, dans la commune de Mamoudzou, dans le quartier de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Mbarazi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>.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II.1.6) Informations sur les lots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Division en lots :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II.1.7) Valeur totale du marché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50000 euros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II.2) DESCRIPTION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II.2.2) Code(s) CPV additionnel(s)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90611000 ,</w:t>
      </w:r>
      <w:proofErr w:type="gram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71241000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II.2.3) Lieu d'exécution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Code NUTS : FR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Lieu principal d'exécution : </w:t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Quartier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Mbarazi</w:t>
      </w:r>
      <w:proofErr w:type="spellEnd"/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II.2.4) Description des prestations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La consultation concerne une mission de maîtrise d’œuvre relative au travaux de la RHI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Mbarazi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>.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II.2.5) Critères d'attribution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Prix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II.2.11) Informations sur les options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Options : </w:t>
      </w:r>
      <w:r w:rsidRPr="000313E3">
        <w:rPr>
          <w:rStyle w:val="fontstyle01"/>
          <w:rFonts w:ascii="Times New Roman" w:hAnsi="Times New Roman" w:cs="Times New Roman"/>
          <w:color w:val="000000"/>
        </w:rPr>
        <w:t>non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II.2.13) Information sur les fonds de l'Union européenne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lastRenderedPageBreak/>
        <w:t xml:space="preserve">Le contrat s'inscrit dans un projet/programme financé par des fonds de l'Union européenne : </w:t>
      </w:r>
      <w:r w:rsidRPr="000313E3">
        <w:rPr>
          <w:rStyle w:val="fontstyle01"/>
          <w:rFonts w:ascii="Times New Roman" w:hAnsi="Times New Roman" w:cs="Times New Roman"/>
          <w:color w:val="000000"/>
        </w:rPr>
        <w:t>non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II.2.14) Informations complémentaires</w:t>
      </w:r>
      <w:r w:rsidRPr="000313E3">
        <w:rPr>
          <w:rFonts w:ascii="Times New Roman" w:hAnsi="Times New Roman" w:cs="Times New Roman"/>
          <w:sz w:val="18"/>
          <w:szCs w:val="18"/>
        </w:rPr>
        <w:br/>
      </w:r>
      <w:r w:rsidRPr="000313E3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9A1E4A"/>
        </w:rPr>
        <w:t>Section IV : Procédure</w:t>
      </w:r>
      <w:r w:rsidRPr="000313E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IV.1) DESCRIPTION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IV.1.1) Type de procédure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Procédure ouverte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IV.1.3) Information sur l'accord-cadre ou le système d'acquisition dynamique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IV.1.6) Enchère électronique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IV.1.8) Marché couvert par l'accord sur les marchés publics (AMP) : </w:t>
      </w:r>
      <w:r w:rsidRPr="000313E3">
        <w:rPr>
          <w:rStyle w:val="fontstyle01"/>
          <w:rFonts w:ascii="Times New Roman" w:hAnsi="Times New Roman" w:cs="Times New Roman"/>
          <w:color w:val="000000"/>
        </w:rPr>
        <w:t>non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IV.2) RENSEIGNEMENTS D'ORDRE ADMINISTRATIF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IV.2.1) Publication(s) antérieure(s) relatives à la présente procédure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Référence de l'avis au JO : 2022/S123-350024 du 24 juin 2022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IV.2.8) Informations sur l'abandon du système d'acquisition dynamique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IV.2.9) Informations sur l'abandon de la procédure d'appel à la concurrence sous la forme d'un avis de </w:t>
      </w:r>
      <w:proofErr w:type="spellStart"/>
      <w:r w:rsidRPr="000313E3">
        <w:rPr>
          <w:rStyle w:val="fontstyle21"/>
          <w:rFonts w:ascii="Times New Roman" w:hAnsi="Times New Roman" w:cs="Times New Roman"/>
        </w:rPr>
        <w:t>préinformation</w:t>
      </w:r>
      <w:proofErr w:type="spellEnd"/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0701B8" w:rsidRDefault="000313E3" w:rsidP="000313E3">
      <w:pPr>
        <w:rPr>
          <w:rStyle w:val="fontstyle21"/>
          <w:rFonts w:ascii="Times New Roman" w:hAnsi="Times New Roman" w:cs="Times New Roman"/>
          <w:color w:val="9A1E4A"/>
        </w:rPr>
      </w:pPr>
      <w:r w:rsidRPr="000313E3">
        <w:rPr>
          <w:rStyle w:val="fontstyle21"/>
          <w:rFonts w:ascii="Times New Roman" w:hAnsi="Times New Roman" w:cs="Times New Roman"/>
          <w:color w:val="9A1E4A"/>
        </w:rPr>
        <w:t>Section V : Attribution</w:t>
      </w:r>
      <w:r w:rsidRPr="000313E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LOT : Attribué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Intitulé : </w:t>
      </w:r>
      <w:r w:rsidRPr="000313E3">
        <w:rPr>
          <w:rStyle w:val="fontstyle01"/>
          <w:rFonts w:ascii="Times New Roman" w:hAnsi="Times New Roman" w:cs="Times New Roman"/>
          <w:color w:val="000000"/>
        </w:rPr>
        <w:t>La consultation concerne une mission de maîtrise d'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relative </w:t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au travaux</w:t>
      </w:r>
      <w:proofErr w:type="gram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de la RHI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Mbarazi</w:t>
      </w:r>
      <w:proofErr w:type="spellEnd"/>
      <w:r w:rsidRPr="000313E3">
        <w:rPr>
          <w:rStyle w:val="fontstyle01"/>
          <w:rFonts w:ascii="Times New Roman" w:hAnsi="Times New Roman" w:cs="Times New Roman"/>
          <w:color w:val="000000"/>
        </w:rPr>
        <w:t>.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V.1) Informations relatives à une non-attribution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V.2) Attribution du marché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05 octobre 2022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V.2.2) Informations sur les offres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Nombre d'offres reçues : </w:t>
      </w:r>
      <w:r w:rsidRPr="000313E3">
        <w:rPr>
          <w:rStyle w:val="fontstyle01"/>
          <w:rFonts w:ascii="Times New Roman" w:hAnsi="Times New Roman" w:cs="Times New Roman"/>
          <w:color w:val="000000"/>
        </w:rPr>
        <w:t>3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Le marché a été attribué à un groupement d'opérateurs économiques : </w:t>
      </w:r>
      <w:r w:rsidRPr="000313E3">
        <w:rPr>
          <w:rStyle w:val="fontstyle01"/>
          <w:rFonts w:ascii="Times New Roman" w:hAnsi="Times New Roman" w:cs="Times New Roman"/>
          <w:color w:val="000000"/>
        </w:rPr>
        <w:t>non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V.2.3) Nom et adresse du titulaire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SAS BET 976, 20 Rue du stade de foot BP 77 COMBANI, 97680, </w:t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TSINGONI ,</w:t>
      </w:r>
      <w:proofErr w:type="gram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FRANCE. Code NUTS : FR.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Le titulaire est une PME : </w:t>
      </w:r>
      <w:r w:rsidRPr="000313E3">
        <w:rPr>
          <w:rStyle w:val="fontstyle01"/>
          <w:rFonts w:ascii="Times New Roman" w:hAnsi="Times New Roman" w:cs="Times New Roman"/>
          <w:color w:val="000000"/>
        </w:rPr>
        <w:t>non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V.2.4) Informations sur le montant du marché/lot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Estimation initiale du montant : </w:t>
      </w:r>
      <w:proofErr w:type="spellStart"/>
      <w:r w:rsidRPr="000313E3">
        <w:rPr>
          <w:rStyle w:val="fontstyle01"/>
          <w:rFonts w:ascii="Times New Roman" w:hAnsi="Times New Roman" w:cs="Times New Roman"/>
          <w:color w:val="000000"/>
        </w:rPr>
        <w:t>non_renseigne</w:t>
      </w:r>
      <w:proofErr w:type="spellEnd"/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 xml:space="preserve">Valeur totale : </w:t>
      </w:r>
      <w:r w:rsidRPr="000313E3">
        <w:rPr>
          <w:rStyle w:val="fontstyle01"/>
          <w:rFonts w:ascii="Times New Roman" w:hAnsi="Times New Roman" w:cs="Times New Roman"/>
          <w:color w:val="000000"/>
        </w:rPr>
        <w:t>50000 euros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V.2.5) Informations sur la sous-traitance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</w:p>
    <w:p w:rsidR="00C6115A" w:rsidRPr="000313E3" w:rsidRDefault="000313E3" w:rsidP="000313E3">
      <w:pPr>
        <w:rPr>
          <w:rFonts w:ascii="Times New Roman" w:hAnsi="Times New Roman" w:cs="Times New Roman"/>
          <w:sz w:val="18"/>
          <w:szCs w:val="18"/>
        </w:rPr>
      </w:pPr>
      <w:r w:rsidRPr="000313E3">
        <w:rPr>
          <w:rStyle w:val="fontstyle21"/>
          <w:rFonts w:ascii="Times New Roman" w:hAnsi="Times New Roman" w:cs="Times New Roman"/>
          <w:color w:val="9A1E4A"/>
        </w:rPr>
        <w:t>Section VI : Renseignements complémentaires</w:t>
      </w:r>
      <w:r w:rsidRPr="000313E3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VI.3) INFORMATIONS COMPLÉMENTAIRES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VI.4) PROCÉDURES DE RECOURS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VI.4.1) Instance chargée des procédures de recours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 xml:space="preserve">Tribunal administratif de Mayotte Rue Les Hauts du jardin du </w:t>
      </w:r>
      <w:proofErr w:type="gramStart"/>
      <w:r w:rsidRPr="000313E3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0313E3">
        <w:rPr>
          <w:rStyle w:val="fontstyle01"/>
          <w:rFonts w:ascii="Times New Roman" w:hAnsi="Times New Roman" w:cs="Times New Roman"/>
          <w:color w:val="000000"/>
        </w:rPr>
        <w:t xml:space="preserve"> 97600 MAMOUDZOU FRANCE.</w:t>
      </w:r>
      <w:r w:rsidRPr="000313E3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VI.4.2) Organe chargé des procédures de médiation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VI.4.3) Introduction des recours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</w:rPr>
        <w:t>VI.4.4) Service auprès duquel des renseignements peuvent être obtenus concernant l'introduction des recours</w:t>
      </w:r>
      <w:r w:rsidRPr="000313E3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0313E3">
        <w:rPr>
          <w:rStyle w:val="fontstyle21"/>
          <w:rFonts w:ascii="Times New Roman" w:hAnsi="Times New Roman" w:cs="Times New Roman"/>
          <w:color w:val="0864A5"/>
        </w:rPr>
        <w:t>VI.5) DATE D'ENVOI DU PRÉSENT AVIS</w:t>
      </w:r>
      <w:r w:rsidRPr="000313E3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0313E3">
        <w:rPr>
          <w:rStyle w:val="fontstyle01"/>
          <w:rFonts w:ascii="Times New Roman" w:hAnsi="Times New Roman" w:cs="Times New Roman"/>
          <w:color w:val="000000"/>
        </w:rPr>
        <w:t>02 novembre 2022</w:t>
      </w:r>
    </w:p>
    <w:sectPr w:rsidR="00C6115A" w:rsidRPr="000313E3" w:rsidSect="00C6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9DB"/>
    <w:rsid w:val="000313E3"/>
    <w:rsid w:val="000701B8"/>
    <w:rsid w:val="003A29DB"/>
    <w:rsid w:val="00484E1F"/>
    <w:rsid w:val="00AD2274"/>
    <w:rsid w:val="00C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3A29DB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3A29DB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2022-11-04T13:22:00Z</dcterms:created>
  <dcterms:modified xsi:type="dcterms:W3CDTF">2022-11-04T13:22:00Z</dcterms:modified>
</cp:coreProperties>
</file>