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75565</wp:posOffset>
            </wp:positionH>
            <wp:positionV relativeFrom="paragraph">
              <wp:posOffset>-224790</wp:posOffset>
            </wp:positionV>
            <wp:extent cx="1398270" cy="1219200"/>
            <wp:effectExtent l="0" t="0" r="0" b="0"/>
            <wp:wrapSquare wrapText="largest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ntte"/>
        <w:tabs>
          <w:tab w:val="clear" w:pos="4536"/>
          <w:tab w:val="clear" w:pos="9072"/>
          <w:tab w:val="center" w:pos="2268" w:leader="none"/>
          <w:tab w:val="center" w:pos="7655" w:leader="none"/>
        </w:tabs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ntte"/>
        <w:tabs>
          <w:tab w:val="clear" w:pos="4536"/>
          <w:tab w:val="clear" w:pos="9072"/>
          <w:tab w:val="center" w:pos="2268" w:leader="none"/>
          <w:tab w:val="center" w:pos="765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ntte"/>
        <w:tabs>
          <w:tab w:val="clear" w:pos="4536"/>
          <w:tab w:val="clear" w:pos="9072"/>
          <w:tab w:val="center" w:pos="2268" w:leader="none"/>
          <w:tab w:val="center" w:pos="765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ntte"/>
        <w:tabs>
          <w:tab w:val="clear" w:pos="4536"/>
          <w:tab w:val="clear" w:pos="9072"/>
          <w:tab w:val="center" w:pos="2268" w:leader="none"/>
          <w:tab w:val="center" w:pos="765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Entte"/>
        <w:tabs>
          <w:tab w:val="clear" w:pos="4536"/>
          <w:tab w:val="clear" w:pos="9072"/>
          <w:tab w:val="center" w:pos="2268" w:leader="none"/>
          <w:tab w:val="center" w:pos="765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4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796"/>
        <w:gridCol w:w="2726"/>
        <w:gridCol w:w="3915"/>
      </w:tblGrid>
      <w:tr>
        <w:trPr/>
        <w:tc>
          <w:tcPr>
            <w:tcW w:w="27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SECRETARIAT GENERAL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Mamoudzou, le </w:t>
            </w:r>
          </w:p>
        </w:tc>
      </w:tr>
      <w:tr>
        <w:trPr/>
        <w:tc>
          <w:tcPr>
            <w:tcW w:w="27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Direction des Relations avec les Collectivités Locales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tedebasdepag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tedebasdepag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21" w:hRule="atLeast"/>
          <w:cantSplit w:val="true"/>
        </w:trPr>
        <w:tc>
          <w:tcPr>
            <w:tcW w:w="279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Bureau des finances locales et de l’environnement</w:t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tedebasdepage"/>
              <w:snapToGrid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tedebasdepag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420"/>
          <w:tab w:val="center" w:pos="1418" w:leader="none"/>
        </w:tabs>
        <w:jc w:val="both"/>
        <w:rPr>
          <w:rFonts w:ascii="Arial" w:hAnsi="Arial"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420"/>
          <w:tab w:val="center" w:pos="1418" w:leader="none"/>
        </w:tabs>
        <w:spacing w:lineRule="auto" w:line="276"/>
        <w:jc w:val="both"/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Objet</w:t>
      </w:r>
      <w:r>
        <w:rPr>
          <w:rFonts w:cs="Times New Roman"/>
          <w:b/>
          <w:bCs/>
          <w:sz w:val="20"/>
          <w:szCs w:val="20"/>
        </w:rPr>
        <w:t xml:space="preserve"> : Avis au public</w:t>
      </w:r>
    </w:p>
    <w:p>
      <w:pPr>
        <w:pStyle w:val="Normal"/>
        <w:tabs>
          <w:tab w:val="clear" w:pos="420"/>
          <w:tab w:val="center" w:pos="1418" w:leader="none"/>
        </w:tabs>
        <w:spacing w:lineRule="auto" w:line="276"/>
        <w:jc w:val="both"/>
        <w:rPr>
          <w:rFonts w:ascii="Arial" w:hAnsi="Arial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tabs>
          <w:tab w:val="clear" w:pos="420"/>
          <w:tab w:val="center" w:pos="1418" w:leader="none"/>
        </w:tabs>
        <w:spacing w:lineRule="auto" w:line="276"/>
        <w:jc w:val="both"/>
        <w:rPr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>Le Préfet de Mayotte informe la population qu</w:t>
      </w:r>
      <w:r>
        <w:rPr>
          <w:rFonts w:cs="Times New Roman"/>
          <w:b w:val="false"/>
          <w:bCs w:val="false"/>
          <w:sz w:val="20"/>
          <w:szCs w:val="20"/>
        </w:rPr>
        <w:t>e l’</w:t>
      </w:r>
      <w:r>
        <w:rPr>
          <w:rFonts w:cs="Times New Roman"/>
          <w:b w:val="false"/>
          <w:bCs w:val="false"/>
          <w:sz w:val="20"/>
          <w:szCs w:val="20"/>
        </w:rPr>
        <w:t>enquête publique</w:t>
      </w:r>
      <w:r>
        <w:rPr>
          <w:rFonts w:cs="Times New Roman"/>
          <w:b w:val="false"/>
          <w:bCs w:val="false"/>
          <w:sz w:val="20"/>
          <w:szCs w:val="20"/>
          <w:lang w:val="fr-FR"/>
        </w:rPr>
        <w:t xml:space="preserve"> </w:t>
      </w:r>
      <w:r>
        <w:rPr>
          <w:rFonts w:eastAsia="SimSu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conjointe </w:t>
      </w:r>
      <w:r>
        <w:rPr>
          <w:rFonts w:eastAsia="SimSu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préalable à la déclaration d’utilité publique </w:t>
      </w:r>
      <w:r>
        <w:rPr>
          <w:rFonts w:eastAsia="SimSu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>et à la déclaration de cessibilité</w:t>
      </w:r>
      <w:r>
        <w:rPr>
          <w:rFonts w:eastAsia="SimSu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>,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pour la constitution de réserves foncières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en vue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>du Nouveau Programme National de Renouvellement Urbain (NPNRU) du quartier de La Vigie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,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>commune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>s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 de Dzaoudzi-Labattoir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 xml:space="preserve">et Pamandzi </w:t>
      </w:r>
      <w:r>
        <w:rPr>
          <w:rFonts w:eastAsia="SimSun" w:cs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fr-FR" w:eastAsia="fr-FR" w:bidi="hi-IN"/>
        </w:rPr>
        <w:t>se déroulera :</w:t>
      </w:r>
    </w:p>
    <w:p>
      <w:pPr>
        <w:pStyle w:val="Normal"/>
        <w:tabs>
          <w:tab w:val="clear" w:pos="420"/>
          <w:tab w:val="center" w:pos="1418" w:leader="none"/>
        </w:tabs>
        <w:spacing w:lineRule="auto" w:line="276"/>
        <w:jc w:val="both"/>
        <w:rPr>
          <w:rStyle w:val="Accentuationforte"/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u w:val="none"/>
          <w:lang w:val="fr-FR" w:eastAsia="fr-FR" w:bidi="hi-IN"/>
        </w:rPr>
      </w:pPr>
      <w:r>
        <w:rPr/>
      </w:r>
    </w:p>
    <w:p>
      <w:pPr>
        <w:pStyle w:val="Normal"/>
        <w:tabs>
          <w:tab w:val="clear" w:pos="420"/>
          <w:tab w:val="center" w:pos="1418" w:leader="none"/>
        </w:tabs>
        <w:spacing w:lineRule="auto" w:line="276"/>
        <w:jc w:val="center"/>
        <w:rPr/>
      </w:pPr>
      <w:r>
        <w:rPr>
          <w:rStyle w:val="Accentuationforte"/>
          <w:rFonts w:eastAsia="SimSu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fr-FR" w:eastAsia="fr-FR" w:bidi="hi-IN"/>
        </w:rPr>
        <w:t xml:space="preserve"> 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 xml:space="preserve">du lundi 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 xml:space="preserve">21 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>novembre a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>u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 xml:space="preserve"> mardi 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 xml:space="preserve">20 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>décembre</w:t>
      </w:r>
      <w:r>
        <w:rPr>
          <w:rStyle w:val="Accentuationforte"/>
          <w:rFonts w:eastAsia="SimSun" w:cs="Arial"/>
          <w:b/>
          <w:bCs/>
          <w:i w:val="false"/>
          <w:iCs w:val="false"/>
          <w:color w:val="000000"/>
          <w:kern w:val="2"/>
          <w:sz w:val="20"/>
          <w:szCs w:val="20"/>
          <w:u w:val="single"/>
          <w:lang w:val="fr-FR" w:eastAsia="fr-FR" w:bidi="hi-IN"/>
        </w:rPr>
        <w:t xml:space="preserve"> inclus</w:t>
      </w:r>
    </w:p>
    <w:p>
      <w:pPr>
        <w:pStyle w:val="Normal"/>
        <w:tabs>
          <w:tab w:val="clear" w:pos="420"/>
          <w:tab w:val="center" w:pos="1418" w:leader="none"/>
        </w:tabs>
        <w:spacing w:lineRule="auto" w:line="276"/>
        <w:jc w:val="center"/>
        <w:rPr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>au</w:t>
      </w:r>
      <w:r>
        <w:rPr>
          <w:rFonts w:cs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</w:rPr>
        <w:t>sein</w:t>
      </w:r>
      <w:r>
        <w:rPr>
          <w:rFonts w:cs="Times New Roman"/>
          <w:b w:val="false"/>
          <w:bCs w:val="false"/>
          <w:sz w:val="20"/>
          <w:szCs w:val="20"/>
        </w:rPr>
        <w:t xml:space="preserve"> de</w:t>
      </w:r>
      <w:r>
        <w:rPr>
          <w:rFonts w:cs="Times New Roman"/>
          <w:b w:val="false"/>
          <w:bCs w:val="false"/>
          <w:sz w:val="20"/>
          <w:szCs w:val="20"/>
        </w:rPr>
        <w:t>s</w:t>
      </w:r>
      <w:r>
        <w:rPr>
          <w:rFonts w:cs="Times New Roman"/>
          <w:b w:val="false"/>
          <w:bCs w:val="false"/>
          <w:sz w:val="20"/>
          <w:szCs w:val="20"/>
        </w:rPr>
        <w:t xml:space="preserve"> Mairie</w:t>
      </w:r>
      <w:r>
        <w:rPr>
          <w:rFonts w:cs="Times New Roman"/>
          <w:b w:val="false"/>
          <w:bCs w:val="false"/>
          <w:sz w:val="20"/>
          <w:szCs w:val="20"/>
        </w:rPr>
        <w:t>s</w:t>
      </w:r>
      <w:r>
        <w:rPr>
          <w:rFonts w:cs="Times New Roman"/>
          <w:b w:val="false"/>
          <w:bCs w:val="false"/>
          <w:sz w:val="20"/>
          <w:szCs w:val="20"/>
        </w:rPr>
        <w:t xml:space="preserve"> de </w:t>
      </w:r>
      <w:r>
        <w:rPr>
          <w:rFonts w:cs="Times New Roman"/>
          <w:b w:val="false"/>
          <w:bCs w:val="false"/>
          <w:sz w:val="20"/>
          <w:szCs w:val="20"/>
        </w:rPr>
        <w:t xml:space="preserve">Dzaoudzi-Labattoir </w:t>
      </w:r>
      <w:r>
        <w:rPr>
          <w:rFonts w:cs="Times New Roman"/>
          <w:b w:val="false"/>
          <w:bCs w:val="false"/>
          <w:sz w:val="20"/>
          <w:szCs w:val="20"/>
        </w:rPr>
        <w:t>et de Pamandzi</w:t>
      </w:r>
    </w:p>
    <w:p>
      <w:pPr>
        <w:pStyle w:val="Normal"/>
        <w:tabs>
          <w:tab w:val="clear" w:pos="420"/>
          <w:tab w:val="center" w:pos="1418" w:leader="none"/>
        </w:tabs>
        <w:spacing w:lineRule="auto" w:line="276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0"/>
          <w:szCs w:val="20"/>
          <w:highlight w:val="yellow"/>
          <w:lang w:eastAsia="fr-FR"/>
        </w:rPr>
      </w:pPr>
      <w:r>
        <w:rPr>
          <w:rFonts w:cs="Arial"/>
          <w:b w:val="false"/>
          <w:bCs w:val="false"/>
          <w:i w:val="false"/>
          <w:iCs w:val="false"/>
          <w:sz w:val="20"/>
          <w:szCs w:val="20"/>
          <w:highlight w:val="yellow"/>
          <w:lang w:eastAsia="fr-FR"/>
        </w:rPr>
      </w:r>
    </w:p>
    <w:p>
      <w:pPr>
        <w:pStyle w:val="Destinataire"/>
        <w:spacing w:lineRule="auto" w:line="276"/>
        <w:jc w:val="both"/>
        <w:rPr>
          <w:sz w:val="20"/>
          <w:szCs w:val="20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eastAsia="fr-FR"/>
        </w:rPr>
        <w:t xml:space="preserve">Le dossier 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eastAsia="fr-FR"/>
        </w:rPr>
        <w:t>d’enquête publique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eastAsia="fr-FR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eastAsia="fr-FR"/>
        </w:rPr>
        <w:t xml:space="preserve">conjointe 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eastAsia="fr-FR"/>
        </w:rPr>
        <w:t>sera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eastAsia="fr-FR"/>
        </w:rPr>
        <w:t xml:space="preserve"> consultable sur le site internet de la Préfecture de Ma</w:t>
      </w:r>
      <w:r>
        <w:rPr>
          <w:rFonts w:cs="Times New Roman"/>
          <w:b w:val="false"/>
          <w:bCs w:val="false"/>
          <w:i w:val="false"/>
          <w:iCs w:val="false"/>
          <w:color w:val="111111"/>
          <w:sz w:val="20"/>
          <w:szCs w:val="20"/>
          <w:u w:val="none"/>
          <w:lang w:eastAsia="fr-FR"/>
        </w:rPr>
        <w:t xml:space="preserve">yotte </w:t>
      </w:r>
      <w:r>
        <w:rPr>
          <w:rFonts w:cs="Times New Roman"/>
          <w:b w:val="false"/>
          <w:bCs w:val="false"/>
          <w:i w:val="false"/>
          <w:iCs w:val="false"/>
          <w:color w:val="111111"/>
          <w:sz w:val="20"/>
          <w:szCs w:val="20"/>
          <w:u w:val="none"/>
          <w:lang w:eastAsia="fr-FR"/>
        </w:rPr>
        <w:t>à l’adresse suivante</w:t>
      </w:r>
      <w:r>
        <w:rPr>
          <w:rFonts w:cs="Times New Roman"/>
          <w:b w:val="false"/>
          <w:bCs w:val="false"/>
          <w:i w:val="false"/>
          <w:iCs w:val="false"/>
          <w:color w:val="111111"/>
          <w:sz w:val="20"/>
          <w:szCs w:val="20"/>
          <w:u w:val="none"/>
          <w:lang w:eastAsia="fr-FR"/>
        </w:rPr>
        <w:t> :</w:t>
      </w:r>
      <w:r>
        <w:rPr>
          <w:rFonts w:eastAsia="SimSun" w:cs="Arial"/>
          <w:b w:val="false"/>
          <w:bCs w:val="false"/>
          <w:i w:val="false"/>
          <w:iCs w:val="false"/>
          <w:color w:val="0000FF"/>
          <w:kern w:val="2"/>
          <w:sz w:val="20"/>
          <w:szCs w:val="20"/>
          <w:u w:val="none"/>
          <w:lang w:val="fr-FR" w:eastAsia="fr-FR" w:bidi="hi-IN"/>
        </w:rPr>
        <w:t xml:space="preserve"> </w:t>
      </w:r>
    </w:p>
    <w:p>
      <w:pPr>
        <w:pStyle w:val="Destinataire"/>
        <w:spacing w:lineRule="auto" w:line="276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FF"/>
          <w:kern w:val="2"/>
          <w:sz w:val="20"/>
          <w:szCs w:val="20"/>
          <w:u w:val="none"/>
          <w:lang w:val="fr-FR" w:eastAsia="fr-FR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0000FF"/>
          <w:kern w:val="2"/>
          <w:sz w:val="20"/>
          <w:szCs w:val="20"/>
          <w:u w:val="none"/>
          <w:lang w:val="fr-FR" w:eastAsia="fr-FR" w:bidi="hi-IN"/>
        </w:rPr>
      </w:r>
    </w:p>
    <w:p>
      <w:pPr>
        <w:pStyle w:val="Destinataire"/>
        <w:spacing w:lineRule="auto" w:line="276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0000FF"/>
          <w:kern w:val="2"/>
          <w:sz w:val="20"/>
          <w:szCs w:val="20"/>
          <w:u w:val="none"/>
          <w:lang w:val="fr-FR" w:eastAsia="fr-FR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0000FF"/>
          <w:kern w:val="2"/>
          <w:sz w:val="20"/>
          <w:szCs w:val="20"/>
          <w:u w:val="none"/>
          <w:lang w:val="fr-FR" w:eastAsia="fr-FR" w:bidi="hi-IN"/>
        </w:rPr>
        <w:t>https://www.mayotte.gouv.fr/Publications/Avis-publics-et-enquetes-publiques/2022/Enquete-publique-DUP-et-parcellaire-NPNRU-du-quartier-La-Vigie</w:t>
      </w:r>
    </w:p>
    <w:p>
      <w:pPr>
        <w:pStyle w:val="Destinataire"/>
        <w:spacing w:lineRule="auto" w:line="276"/>
        <w:jc w:val="both"/>
        <w:rPr>
          <w:rStyle w:val="LienInternet"/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color w:val="21409A"/>
          <w:kern w:val="2"/>
          <w:sz w:val="20"/>
          <w:szCs w:val="20"/>
          <w:lang w:val="fr-FR" w:eastAsia="fr-FR" w:bidi="hi-IN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Style w:val="LienInternet"/>
          <w:rFonts w:cs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fr-FR"/>
        </w:rPr>
        <w:t>Pendant toute la durée de l’enquête, le public pourra exprimer ses observations et propositions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 sur le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s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 registre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s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 d’enquête mis à disposition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au sein des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 mairies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de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Dzaoudzi-Labattoir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et de Pamandzi.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Le public pourra également s’exprimer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par courrier adressé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aux mairies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de ces deux communes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, à l’attention d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u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 commissaire enquêteur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et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>portant a minima la mention « </w:t>
      </w:r>
      <w:r>
        <w:rPr>
          <w:rStyle w:val="LienInternet"/>
          <w:rFonts w:cs="Arial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Enquête publique </w:t>
      </w:r>
      <w:r>
        <w:rPr>
          <w:rStyle w:val="LienInternet"/>
          <w:rFonts w:cs="Arial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conjointe - Réserves foncières du projet du NPNRU du Quartier La Vigie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» </w:t>
      </w:r>
      <w:r>
        <w:rPr>
          <w:rStyle w:val="LienInternet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fr-FR"/>
        </w:rPr>
        <w:t xml:space="preserve">ainsi que </w:t>
      </w: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sz w:val="20"/>
          <w:szCs w:val="20"/>
          <w:lang w:eastAsia="fr-FR"/>
        </w:rPr>
        <w:t xml:space="preserve">par courriel à l’adresse : </w:t>
      </w:r>
      <w:hyperlink r:id="rId3">
        <w:r>
          <w:rPr>
            <w:rStyle w:val="LienInternet"/>
            <w:rFonts w:cs="Arial"/>
            <w:b w:val="false"/>
            <w:bCs w:val="false"/>
            <w:i w:val="false"/>
            <w:iCs w:val="false"/>
            <w:strike w:val="false"/>
            <w:dstrike w:val="false"/>
            <w:color w:val="0000FF"/>
            <w:sz w:val="20"/>
            <w:szCs w:val="20"/>
            <w:u w:val="single"/>
            <w:lang w:eastAsia="fr-FR"/>
          </w:rPr>
          <w:t>pref976-enquete-publique@mayotte.gouv.fr</w:t>
        </w:r>
      </w:hyperlink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commissaire-enquêteur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recev</w:t>
      </w:r>
      <w:r>
        <w:rPr>
          <w:rFonts w:cs="Arial"/>
          <w:sz w:val="20"/>
          <w:szCs w:val="20"/>
        </w:rPr>
        <w:t>ra</w:t>
      </w:r>
      <w:r>
        <w:rPr>
          <w:rFonts w:cs="Arial"/>
          <w:sz w:val="20"/>
          <w:szCs w:val="20"/>
        </w:rPr>
        <w:t xml:space="preserve"> personnellement le public lors des permanences établies durant l’enquête en mairie</w:t>
      </w: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aux jours et heures suivants :</w:t>
      </w:r>
    </w:p>
    <w:p>
      <w:pPr>
        <w:pStyle w:val="Destinataire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/>
          <w:sz w:val="20"/>
          <w:szCs w:val="20"/>
          <w:highlight w:val="yellow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 xml:space="preserve">Pour la mairie de Dzaoudzi-Labattoir :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/>
          <w:b w:val="false"/>
          <w:bCs w:val="false"/>
          <w:sz w:val="20"/>
          <w:szCs w:val="20"/>
          <w:u w:val="none"/>
        </w:rPr>
        <w:t>- jeudi 24 novembre 2022 de 13h30 à 16h30</w:t>
        <w:br/>
        <w:t>- lundi 5 décembre 2022 de 9h00 à 12h00</w:t>
        <w:br/>
        <w:t>- jeudi 15 décembre 2022 de 13h30 à 16h30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/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Pour la mairie de Pamandzi :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/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/>
          <w:b w:val="false"/>
          <w:bCs w:val="false"/>
          <w:sz w:val="20"/>
          <w:szCs w:val="20"/>
          <w:u w:val="none"/>
        </w:rPr>
        <w:t>- jeudi 24 novembre 2022 de 9h00 à 12h00</w:t>
        <w:br/>
        <w:t>- lundi 5 décembre 2022 de 13h30 à 16h30</w:t>
        <w:br/>
        <w:t xml:space="preserve">- jeudi 15 décembre 2022 de 9h00 à 12h00 </w:t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</w:rPr>
        <w:tab/>
        <w:tab/>
        <w:tab/>
        <w:tab/>
        <w:tab/>
        <w:tab/>
        <w:tab/>
        <w:t>Le Préfet,</w:t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</w:rPr>
        <w:t>délégué du Gouvernement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sectPr>
      <w:footerReference w:type="default" r:id="rId4"/>
      <w:type w:val="nextPage"/>
      <w:pgSz w:w="11906" w:h="16838"/>
      <w:pgMar w:left="1418" w:right="1418" w:header="0" w:top="567" w:footer="493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default"/>
  </w:font>
  <w:font w:name="Arial Unicode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Préfecture de Mayotte - BP 676 – 97600 Mamoudzou</w:t>
    </w:r>
  </w:p>
  <w:p>
    <w:pPr>
      <w:pStyle w:val="Pieddepage"/>
      <w:jc w:val="center"/>
      <w:rPr/>
    </w:pPr>
    <w:r>
      <w:rPr>
        <w:rFonts w:cs="Times New Roman" w:ascii="Times New Roman" w:hAnsi="Times New Roman"/>
        <w:sz w:val="20"/>
        <w:szCs w:val="20"/>
      </w:rPr>
      <w:t xml:space="preserve">Standard : 02 69 63 50 00 - </w:t>
    </w:r>
    <w:hyperlink r:id="rId1">
      <w:r>
        <w:rPr>
          <w:rStyle w:val="LienInternet"/>
          <w:rFonts w:cs="Times New Roman" w:ascii="Times New Roman" w:hAnsi="Times New Roman"/>
          <w:sz w:val="20"/>
          <w:szCs w:val="20"/>
        </w:rPr>
        <w:t>www.mayotte.gouv.fr</w:t>
      </w:r>
    </w:hyperlink>
  </w:p>
  <w:p>
    <w:pPr>
      <w:pStyle w:val="Normal"/>
      <w:spacing w:before="240" w:after="0"/>
      <w:jc w:val="center"/>
      <w:rPr>
        <w:rFonts w:cs="Arial"/>
        <w:sz w:val="16"/>
        <w:szCs w:val="20"/>
      </w:rPr>
    </w:pPr>
    <w:r>
      <w:rPr>
        <w:rFonts w:cs="Arial"/>
        <w:sz w:val="16"/>
        <w:szCs w:val="20"/>
      </w:rPr>
      <w:t>Accueil du public du lundi au jeudi de 7h30 à 12h00 et de 14h00 à 16h00 (le vendredi de 7h30 à 11h30)</w:t>
    </w:r>
  </w:p>
  <w:p>
    <w:pPr>
      <w:pStyle w:val="Pieddepage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420"/>
        <w:tab w:val="center" w:pos="7371" w:leader="none"/>
      </w:tabs>
      <w:jc w:val="center"/>
      <w:outlineLvl w:val="0"/>
    </w:pPr>
    <w:rPr>
      <w:b/>
      <w:bCs/>
      <w:caps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420"/>
        <w:tab w:val="center" w:pos="7371" w:leader="none"/>
      </w:tabs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420"/>
        <w:tab w:val="center" w:pos="7371" w:leader="none"/>
      </w:tabs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420"/>
        <w:tab w:val="center" w:pos="7371" w:leader="none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420"/>
        <w:tab w:val="center" w:pos="1985" w:leader="none"/>
        <w:tab w:val="center" w:pos="7371" w:leader="none"/>
      </w:tabs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420"/>
        <w:tab w:val="center" w:pos="1418" w:leader="none"/>
        <w:tab w:val="center" w:pos="7371" w:leader="none"/>
      </w:tabs>
      <w:ind w:left="5670" w:right="0" w:hanging="0"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 w:val="true"/>
      <w:numPr>
        <w:ilvl w:val="0"/>
        <w:numId w:val="0"/>
      </w:numPr>
      <w:jc w:val="center"/>
      <w:outlineLvl w:val="6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qFormat/>
    <w:pPr>
      <w:keepNext w:val="true"/>
      <w:numPr>
        <w:ilvl w:val="0"/>
        <w:numId w:val="0"/>
      </w:numPr>
      <w:tabs>
        <w:tab w:val="clear" w:pos="420"/>
        <w:tab w:val="center" w:pos="7088" w:leader="none"/>
      </w:tabs>
      <w:spacing w:before="120" w:after="0"/>
      <w:outlineLvl w:val="7"/>
    </w:pPr>
    <w:rPr>
      <w:rFonts w:ascii="Comic Sans MS" w:hAnsi="Comic Sans MS" w:cs="Comic Sans MS"/>
      <w:i/>
      <w:iCs/>
      <w:sz w:val="14"/>
      <w:szCs w:val="14"/>
    </w:rPr>
  </w:style>
  <w:style w:type="paragraph" w:styleId="Titre9">
    <w:name w:val="Heading 9"/>
    <w:basedOn w:val="Normal"/>
    <w:next w:val="Normal"/>
    <w:qFormat/>
    <w:pPr>
      <w:keepNext w:val="true"/>
      <w:numPr>
        <w:ilvl w:val="0"/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12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Policepardfaut">
    <w:name w:val="Police par défaut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Policepardfaut2">
    <w:name w:val="Police par défaut2"/>
    <w:qFormat/>
    <w:rPr/>
  </w:style>
  <w:style w:type="character" w:styleId="WW8Num2z0">
    <w:name w:val="WW8Num2z0"/>
    <w:qFormat/>
    <w:rPr>
      <w:rFonts w:ascii="Symbol" w:hAnsi="Symbol" w:cs="Symbol"/>
      <w:sz w:val="16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Wingdings" w:hAnsi="Wingdings" w:cs="Wingdings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  <w:sz w:val="16"/>
    </w:rPr>
  </w:style>
  <w:style w:type="character" w:styleId="WW8Num21z0">
    <w:name w:val="WW8Num21z0"/>
    <w:qFormat/>
    <w:rPr>
      <w:rFonts w:ascii="Symbol" w:hAnsi="Symbol" w:cs="Symbol"/>
      <w:sz w:val="16"/>
    </w:rPr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  <w:sz w:val="16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Policepardfaut1">
    <w:name w:val="Police par défaut1"/>
    <w:qFormat/>
    <w:rPr/>
  </w:style>
  <w:style w:type="character" w:styleId="LienInternet">
    <w:name w:val="Lien Internet"/>
    <w:basedOn w:val="Policepardfaut1"/>
    <w:rPr>
      <w:color w:val="0000FF"/>
      <w:u w:val="single"/>
    </w:rPr>
  </w:style>
  <w:style w:type="character" w:styleId="LienInternetvisit">
    <w:name w:val="Lien Internet visité"/>
    <w:basedOn w:val="Policepardfaut1"/>
    <w:rPr>
      <w:color w:val="800080"/>
      <w:u w:val="single"/>
    </w:rPr>
  </w:style>
  <w:style w:type="character" w:styleId="FAURE">
    <w:name w:val="FAURE"/>
    <w:basedOn w:val="Policepardfaut1"/>
    <w:qFormat/>
    <w:rPr>
      <w:rFonts w:ascii="Arial" w:hAnsi="Arial" w:cs="Arial"/>
      <w:color w:val="000000"/>
      <w:sz w:val="20"/>
      <w:szCs w:val="20"/>
    </w:rPr>
  </w:style>
  <w:style w:type="character" w:styleId="DefaultParagraphFont">
    <w:name w:val="Default Paragraph Font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Numrodepage">
    <w:name w:val="Numéro de page"/>
    <w:basedOn w:val="Policepardfaut"/>
    <w:rPr/>
  </w:style>
  <w:style w:type="character" w:styleId="Caractresdenotedebasdepage">
    <w:name w:val="Caractères de note de bas de page"/>
    <w:basedOn w:val="Policepardfaut"/>
    <w:qFormat/>
    <w:rPr>
      <w:vertAlign w:val="superscript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Titre1Car">
    <w:name w:val="Titre 1 Car"/>
    <w:qFormat/>
    <w:rPr>
      <w:b/>
      <w:bCs/>
      <w:sz w:val="24"/>
      <w:szCs w:val="24"/>
      <w:lang w:val="nl-NL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Accentuation">
    <w:name w:val="Accentuation"/>
    <w:qFormat/>
    <w:rPr>
      <w:i/>
      <w:iCs/>
    </w:rPr>
  </w:style>
  <w:style w:type="character" w:styleId="St">
    <w:name w:val="st"/>
    <w:basedOn w:val="Policepardfaut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Accentuationforte">
    <w:name w:val="Accentuation forte"/>
    <w:basedOn w:val="Policepardfaut"/>
    <w:qFormat/>
    <w:rPr>
      <w:b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21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tte">
    <w:name w:val="Header"/>
    <w:basedOn w:val="Normal"/>
    <w:pPr>
      <w:tabs>
        <w:tab w:val="clear" w:pos="4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420"/>
        <w:tab w:val="center" w:pos="4536" w:leader="none"/>
        <w:tab w:val="right" w:pos="9072" w:leader="none"/>
      </w:tabs>
    </w:pPr>
    <w:rPr/>
  </w:style>
  <w:style w:type="paragraph" w:styleId="Normalcentr1">
    <w:name w:val="Normal centré1"/>
    <w:basedOn w:val="Normal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567" w:right="567" w:firstLine="567"/>
      <w:jc w:val="both"/>
    </w:pPr>
    <w:rPr/>
  </w:style>
  <w:style w:type="paragraph" w:styleId="Retraitdecorpsdetexte">
    <w:name w:val="Body Text Indent"/>
    <w:basedOn w:val="Normal"/>
    <w:pPr>
      <w:ind w:left="1134" w:right="0" w:firstLine="567"/>
    </w:pPr>
    <w:rPr/>
  </w:style>
  <w:style w:type="paragraph" w:styleId="Retraitcorpsdetexte21">
    <w:name w:val="Retrait corps de texte 21"/>
    <w:basedOn w:val="Normal"/>
    <w:qFormat/>
    <w:pPr>
      <w:ind w:left="993" w:right="0" w:firstLine="699"/>
    </w:pPr>
    <w:rPr>
      <w:sz w:val="22"/>
      <w:szCs w:val="22"/>
    </w:rPr>
  </w:style>
  <w:style w:type="paragraph" w:styleId="Retraitcorpsdetexte31">
    <w:name w:val="Retrait corps de texte 31"/>
    <w:basedOn w:val="Normal"/>
    <w:qFormat/>
    <w:pPr>
      <w:ind w:left="1134" w:right="0" w:firstLine="567"/>
      <w:jc w:val="both"/>
    </w:pPr>
    <w:rPr>
      <w:sz w:val="22"/>
      <w:szCs w:val="22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36"/>
      <w:szCs w:val="36"/>
    </w:rPr>
  </w:style>
  <w:style w:type="paragraph" w:styleId="Citation">
    <w:name w:val="Citation"/>
    <w:basedOn w:val="Normal"/>
    <w:qFormat/>
    <w:pPr>
      <w:spacing w:before="0" w:after="283"/>
      <w:ind w:left="567" w:right="567" w:hanging="0"/>
    </w:pPr>
    <w:rPr/>
  </w:style>
  <w:style w:type="paragraph" w:styleId="DATE">
    <w:name w:val="DATE"/>
    <w:basedOn w:val="Normal"/>
    <w:qFormat/>
    <w:pPr>
      <w:jc w:val="center"/>
    </w:pPr>
    <w:rPr>
      <w:b/>
      <w:sz w:val="22"/>
    </w:rPr>
  </w:style>
  <w:style w:type="paragraph" w:styleId="Paragraphedeliste">
    <w:name w:val="Paragraphe de liste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ucadre">
    <w:name w:val="Contenu du cadre"/>
    <w:basedOn w:val="Corpsdetexte"/>
    <w:qFormat/>
    <w:pPr/>
    <w:rPr/>
  </w:style>
  <w:style w:type="paragraph" w:styleId="Explorateurdedocument">
    <w:name w:val="Explorateur de document"/>
    <w:basedOn w:val="Normal"/>
    <w:qFormat/>
    <w:pPr/>
    <w:rPr>
      <w:rFonts w:ascii="Tahoma" w:hAnsi="Tahoma" w:cs="Tahoma"/>
    </w:rPr>
  </w:style>
  <w:style w:type="paragraph" w:styleId="Retraitcorpsdetexte3">
    <w:name w:val="Retrait corps de texte 3"/>
    <w:basedOn w:val="Normal"/>
    <w:qFormat/>
    <w:pPr>
      <w:tabs>
        <w:tab w:val="clear" w:pos="420"/>
        <w:tab w:val="center" w:pos="6237" w:leader="none"/>
        <w:tab w:val="left" w:pos="10632" w:leader="none"/>
      </w:tabs>
      <w:spacing w:before="120" w:after="120"/>
      <w:ind w:left="0" w:right="0" w:firstLine="851"/>
    </w:pPr>
    <w:rPr>
      <w:rFonts w:ascii="Arial" w:hAnsi="Arial" w:cs="Arial"/>
      <w:sz w:val="22"/>
      <w:szCs w:val="22"/>
    </w:rPr>
  </w:style>
  <w:style w:type="paragraph" w:styleId="Corpsdetexte2">
    <w:name w:val="Corps de texte 2"/>
    <w:basedOn w:val="Normal"/>
    <w:qFormat/>
    <w:p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Retraitcorpsdetexte2">
    <w:name w:val="Retrait corps de texte 2"/>
    <w:basedOn w:val="Normal"/>
    <w:qFormat/>
    <w:pPr>
      <w:spacing w:before="120" w:after="120"/>
      <w:ind w:left="0" w:right="0" w:firstLine="851"/>
      <w:jc w:val="both"/>
    </w:pPr>
    <w:rPr>
      <w:rFonts w:ascii="Arial" w:hAnsi="Arial" w:cs="Arial"/>
      <w:sz w:val="22"/>
      <w:szCs w:val="22"/>
    </w:rPr>
  </w:style>
  <w:style w:type="paragraph" w:styleId="Normalcentr">
    <w:name w:val="Normal centré"/>
    <w:basedOn w:val="Normal"/>
    <w:qFormat/>
    <w:pPr>
      <w:tabs>
        <w:tab w:val="clear" w:pos="420"/>
        <w:tab w:val="center" w:pos="1418" w:leader="none"/>
        <w:tab w:val="left" w:pos="3969" w:leader="none"/>
        <w:tab w:val="center" w:pos="7921" w:leader="none"/>
      </w:tabs>
      <w:spacing w:lineRule="atLeast" w:line="240"/>
      <w:ind w:left="1701" w:right="339" w:firstLine="1134"/>
      <w:jc w:val="both"/>
    </w:pPr>
    <w:rPr>
      <w:rFonts w:ascii="Comic Sans MS" w:hAnsi="Comic Sans MS" w:cs="Comic Sans MS"/>
    </w:rPr>
  </w:style>
  <w:style w:type="paragraph" w:styleId="Corpsdetexte21">
    <w:name w:val="Corps de texte 21"/>
    <w:basedOn w:val="Normal"/>
    <w:qFormat/>
    <w:pPr>
      <w:jc w:val="both"/>
    </w:pPr>
    <w:rPr>
      <w:rFonts w:ascii="Arial" w:hAnsi="Arial" w:cs="Arial"/>
      <w:sz w:val="16"/>
    </w:rPr>
  </w:style>
  <w:style w:type="paragraph" w:styleId="Corpsdetexte3">
    <w:name w:val="Corps de texte 3"/>
    <w:basedOn w:val="Normal"/>
    <w:qFormat/>
    <w:pPr>
      <w:tabs>
        <w:tab w:val="clear" w:pos="420"/>
        <w:tab w:val="left" w:pos="1701" w:leader="none"/>
      </w:tabs>
      <w:ind w:left="0" w:right="-108" w:hanging="0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qFormat/>
    <w:pPr>
      <w:ind w:left="567" w:right="0" w:hanging="0"/>
    </w:pPr>
    <w:rPr>
      <w:rFonts w:ascii="Arial" w:hAnsi="Arial" w:cs="Arial"/>
      <w:sz w:val="22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Arial" w:hAnsi="Arial" w:eastAsia="Arial Unicode MS" w:cs="Arial"/>
    </w:rPr>
  </w:style>
  <w:style w:type="paragraph" w:styleId="NormalWeb">
    <w:name w:val="Normal (Web)"/>
    <w:basedOn w:val="Normal"/>
    <w:qFormat/>
    <w:pPr>
      <w:spacing w:before="280" w:after="0"/>
      <w:jc w:val="both"/>
    </w:pPr>
    <w:rPr>
      <w:rFonts w:ascii="Arial Unicode MS" w:hAnsi="Arial Unicode MS" w:eastAsia="Arial Unicode MS" w:cs="Arial Unicode MS"/>
    </w:rPr>
  </w:style>
  <w:style w:type="paragraph" w:styleId="Destinataire">
    <w:name w:val="Envelope Address"/>
    <w:basedOn w:val="Normal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f976-enquete-publique@mayotte.gouv.fr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ayotte.pref.gouv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323</Words>
  <CharactersWithSpaces>2140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2022-10-18T15:19:56Z</dcterms:created>
  <dc:creator/>
  <dc:description/>
  <dc:language>fr-FR</dc:language>
  <cp:lastModifiedBy/>
  <cp:revision>1</cp:revision>
  <dc:subject/>
  <dc:title>	MAYOTTE	REPUBLIQUE FRANCAISE</dc:title>
</cp:coreProperties>
</file>