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59" w:rsidRPr="0051363E" w:rsidRDefault="00F02259" w:rsidP="0051363E">
      <w:pPr>
        <w:spacing w:after="0" w:line="276" w:lineRule="auto"/>
        <w:rPr>
          <w:rFonts w:ascii="Times New Roman" w:hAnsi="Times New Roman" w:cs="Times New Roman"/>
          <w:b/>
          <w:color w:val="000000" w:themeColor="text1"/>
          <w:sz w:val="24"/>
          <w:szCs w:val="24"/>
        </w:rPr>
      </w:pPr>
      <w:r w:rsidRPr="0051363E">
        <w:rPr>
          <w:rFonts w:ascii="Times New Roman" w:hAnsi="Times New Roman" w:cs="Times New Roman"/>
          <w:b/>
          <w:color w:val="000000" w:themeColor="text1"/>
          <w:sz w:val="24"/>
          <w:szCs w:val="24"/>
        </w:rPr>
        <w:t>Communauté de Commune Centre Ouest (3CO)</w:t>
      </w:r>
    </w:p>
    <w:p w:rsidR="00F02259" w:rsidRPr="0051363E" w:rsidRDefault="00F02259" w:rsidP="0051363E">
      <w:pPr>
        <w:spacing w:after="200" w:line="276" w:lineRule="auto"/>
        <w:rPr>
          <w:rFonts w:ascii="Times New Roman" w:hAnsi="Times New Roman" w:cs="Times New Roman"/>
          <w:b/>
          <w:color w:val="000000" w:themeColor="text1"/>
          <w:sz w:val="24"/>
          <w:szCs w:val="24"/>
        </w:rPr>
      </w:pPr>
    </w:p>
    <w:p w:rsidR="00F02259" w:rsidRPr="0051363E" w:rsidRDefault="00F02259" w:rsidP="0051363E">
      <w:pPr>
        <w:spacing w:after="0" w:line="276" w:lineRule="auto"/>
        <w:rPr>
          <w:rFonts w:ascii="Times New Roman" w:hAnsi="Times New Roman" w:cs="Times New Roman"/>
          <w:color w:val="000000" w:themeColor="text1"/>
          <w:sz w:val="24"/>
          <w:szCs w:val="24"/>
        </w:rPr>
      </w:pPr>
      <w:r w:rsidRPr="0051363E">
        <w:rPr>
          <w:rFonts w:ascii="Times New Roman" w:hAnsi="Times New Roman" w:cs="Times New Roman"/>
          <w:color w:val="000000" w:themeColor="text1"/>
          <w:sz w:val="24"/>
          <w:szCs w:val="24"/>
        </w:rPr>
        <w:t xml:space="preserve">1444 Avenue </w:t>
      </w:r>
      <w:proofErr w:type="spellStart"/>
      <w:r w:rsidRPr="0051363E">
        <w:rPr>
          <w:rFonts w:ascii="Times New Roman" w:hAnsi="Times New Roman" w:cs="Times New Roman"/>
          <w:color w:val="000000" w:themeColor="text1"/>
          <w:sz w:val="24"/>
          <w:szCs w:val="24"/>
        </w:rPr>
        <w:t>Zoubert</w:t>
      </w:r>
      <w:proofErr w:type="spellEnd"/>
      <w:r w:rsidRPr="0051363E">
        <w:rPr>
          <w:rFonts w:ascii="Times New Roman" w:hAnsi="Times New Roman" w:cs="Times New Roman"/>
          <w:color w:val="000000" w:themeColor="text1"/>
          <w:sz w:val="24"/>
          <w:szCs w:val="24"/>
        </w:rPr>
        <w:t xml:space="preserve"> </w:t>
      </w:r>
      <w:proofErr w:type="spellStart"/>
      <w:r w:rsidRPr="0051363E">
        <w:rPr>
          <w:rFonts w:ascii="Times New Roman" w:hAnsi="Times New Roman" w:cs="Times New Roman"/>
          <w:color w:val="000000" w:themeColor="text1"/>
          <w:sz w:val="24"/>
          <w:szCs w:val="24"/>
        </w:rPr>
        <w:t>Adinani</w:t>
      </w:r>
      <w:proofErr w:type="spellEnd"/>
      <w:r w:rsidRPr="0051363E">
        <w:rPr>
          <w:rFonts w:ascii="Times New Roman" w:hAnsi="Times New Roman" w:cs="Times New Roman"/>
          <w:color w:val="000000" w:themeColor="text1"/>
          <w:sz w:val="24"/>
          <w:szCs w:val="24"/>
        </w:rPr>
        <w:t xml:space="preserve"> - 97680 TSINGONI</w:t>
      </w:r>
    </w:p>
    <w:p w:rsidR="00F02259" w:rsidRPr="0051363E" w:rsidRDefault="00F02259" w:rsidP="0051363E">
      <w:pPr>
        <w:spacing w:after="0" w:line="276" w:lineRule="auto"/>
        <w:rPr>
          <w:rFonts w:ascii="Times New Roman" w:hAnsi="Times New Roman" w:cs="Times New Roman"/>
          <w:color w:val="000000" w:themeColor="text1"/>
          <w:sz w:val="24"/>
          <w:szCs w:val="24"/>
        </w:rPr>
      </w:pPr>
      <w:r w:rsidRPr="0051363E">
        <w:rPr>
          <w:rFonts w:ascii="Times New Roman" w:hAnsi="Times New Roman" w:cs="Times New Roman"/>
          <w:color w:val="000000" w:themeColor="text1"/>
          <w:sz w:val="24"/>
          <w:szCs w:val="24"/>
        </w:rPr>
        <w:t>Tel : (+262) 269.63.76.76</w:t>
      </w:r>
    </w:p>
    <w:p w:rsidR="0051363E" w:rsidRPr="0051363E" w:rsidRDefault="0051363E" w:rsidP="0051363E">
      <w:pPr>
        <w:spacing w:after="200" w:line="276" w:lineRule="auto"/>
        <w:rPr>
          <w:rFonts w:ascii="Times New Roman" w:hAnsi="Times New Roman" w:cs="Times New Roman"/>
          <w:b/>
          <w:noProof/>
          <w:color w:val="000000" w:themeColor="text1"/>
          <w:sz w:val="24"/>
          <w:szCs w:val="24"/>
        </w:rPr>
      </w:pPr>
    </w:p>
    <w:p w:rsidR="0051363E" w:rsidRPr="0051363E" w:rsidRDefault="0051363E" w:rsidP="0051363E">
      <w:pPr>
        <w:spacing w:after="200" w:line="276" w:lineRule="auto"/>
        <w:rPr>
          <w:rFonts w:ascii="Times New Roman" w:hAnsi="Times New Roman" w:cs="Times New Roman"/>
          <w:b/>
          <w:noProof/>
          <w:color w:val="000000" w:themeColor="text1"/>
          <w:sz w:val="24"/>
          <w:szCs w:val="24"/>
        </w:rPr>
      </w:pPr>
      <w:r w:rsidRPr="0051363E">
        <w:rPr>
          <w:rFonts w:ascii="Times New Roman" w:hAnsi="Times New Roman" w:cs="Times New Roman"/>
          <w:b/>
          <w:color w:val="000000" w:themeColor="text1"/>
          <w:sz w:val="24"/>
          <w:szCs w:val="24"/>
        </w:rPr>
        <w:t>Marché services</w:t>
      </w:r>
    </w:p>
    <w:p w:rsidR="0051363E" w:rsidRPr="0051363E" w:rsidRDefault="0051363E" w:rsidP="0051363E">
      <w:pPr>
        <w:spacing w:after="200" w:line="276" w:lineRule="auto"/>
        <w:rPr>
          <w:rFonts w:ascii="Times New Roman" w:hAnsi="Times New Roman" w:cs="Times New Roman"/>
          <w:noProof/>
          <w:color w:val="000000" w:themeColor="text1"/>
          <w:sz w:val="24"/>
          <w:szCs w:val="24"/>
          <w:lang w:eastAsia="fr-FR"/>
        </w:rPr>
      </w:pPr>
      <w:r w:rsidRPr="0051363E">
        <w:rPr>
          <w:rFonts w:ascii="Times New Roman" w:hAnsi="Times New Roman" w:cs="Times New Roman"/>
          <w:b/>
          <w:color w:val="000000" w:themeColor="text1"/>
          <w:sz w:val="24"/>
          <w:szCs w:val="24"/>
        </w:rPr>
        <w:t>Acte d’engagement.</w:t>
      </w:r>
      <w:r w:rsidRPr="0051363E">
        <w:rPr>
          <w:rFonts w:ascii="Times New Roman" w:hAnsi="Times New Roman" w:cs="Times New Roman"/>
          <w:noProof/>
          <w:color w:val="000000" w:themeColor="text1"/>
          <w:sz w:val="24"/>
          <w:szCs w:val="24"/>
          <w:lang w:eastAsia="fr-FR"/>
        </w:rPr>
        <w:t xml:space="preserve"> </w:t>
      </w:r>
    </w:p>
    <w:p w:rsidR="00F02259" w:rsidRPr="0051363E" w:rsidRDefault="0051363E" w:rsidP="0051363E">
      <w:pPr>
        <w:spacing w:before="80" w:after="200" w:line="276" w:lineRule="auto"/>
        <w:rPr>
          <w:rFonts w:ascii="Times New Roman" w:hAnsi="Times New Roman" w:cs="Times New Roman"/>
          <w:color w:val="000000" w:themeColor="text1"/>
          <w:sz w:val="24"/>
          <w:szCs w:val="24"/>
        </w:rPr>
      </w:pPr>
      <w:r w:rsidRPr="0051363E">
        <w:rPr>
          <w:rFonts w:ascii="Times New Roman" w:hAnsi="Times New Roman" w:cs="Times New Roman"/>
          <w:b/>
          <w:color w:val="000000" w:themeColor="text1"/>
          <w:sz w:val="24"/>
          <w:szCs w:val="24"/>
        </w:rPr>
        <w:t>N° interne marché : 3CO22M050</w:t>
      </w:r>
    </w:p>
    <w:p w:rsidR="001959A7" w:rsidRPr="0051363E" w:rsidRDefault="00F02259" w:rsidP="0051363E">
      <w:pPr>
        <w:rPr>
          <w:rFonts w:ascii="Times New Roman" w:hAnsi="Times New Roman" w:cs="Times New Roman"/>
          <w:b/>
          <w:bCs/>
          <w:color w:val="000000" w:themeColor="text1"/>
          <w:sz w:val="24"/>
          <w:szCs w:val="24"/>
        </w:rPr>
      </w:pPr>
      <w:r w:rsidRPr="0051363E">
        <w:rPr>
          <w:rFonts w:ascii="Times New Roman" w:hAnsi="Times New Roman" w:cs="Times New Roman"/>
          <w:b/>
          <w:bCs/>
          <w:color w:val="000000" w:themeColor="text1"/>
          <w:sz w:val="24"/>
          <w:szCs w:val="24"/>
        </w:rPr>
        <w:t xml:space="preserve">Assistance à maîtrise d’ouvrage pour le développement d’un programme d’accueil des séniors. </w:t>
      </w:r>
      <w:r w:rsidR="0051363E" w:rsidRPr="0051363E">
        <w:rPr>
          <w:rFonts w:ascii="Times New Roman" w:hAnsi="Times New Roman" w:cs="Times New Roman"/>
          <w:noProof/>
          <w:color w:val="000000" w:themeColor="text1"/>
          <w:sz w:val="24"/>
          <w:szCs w:val="24"/>
          <w:lang w:eastAsia="fr-FR"/>
        </w:rPr>
        <w:pict>
          <v:shapetype id="_x0000_t202" coordsize="21600,21600" o:spt="202" path="m,l,21600r21600,l21600,xe">
            <v:stroke joinstyle="miter"/>
            <v:path gradientshapeok="t" o:connecttype="rect"/>
          </v:shapetype>
          <v:shape id="Zone de texte 3" o:spid="_x0000_s1034" type="#_x0000_t202" style="position:absolute;margin-left:9pt;margin-top:11.9pt;width:450pt;height:43.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" filled="f" stroked="f">
            <v:textbox style="mso-next-textbox:#Zone de texte 3">
              <w:txbxContent>
                <w:p w:rsidR="001959A7" w:rsidRDefault="001959A7" w:rsidP="0051363E">
                  <w:pPr>
                    <w:rPr>
                      <w:szCs w:val="24"/>
                    </w:rPr>
                  </w:pPr>
                </w:p>
                <w:p w:rsidR="0051363E" w:rsidRPr="0051363E" w:rsidRDefault="0051363E" w:rsidP="0051363E">
                  <w:pPr>
                    <w:rPr>
                      <w:szCs w:val="24"/>
                    </w:rPr>
                  </w:pPr>
                </w:p>
              </w:txbxContent>
            </v:textbox>
          </v:shape>
        </w:pict>
      </w:r>
    </w:p>
    <w:p w:rsidR="0051363E" w:rsidRDefault="0051363E" w:rsidP="0051363E">
      <w:pPr>
        <w:spacing w:before="60" w:after="200" w:line="276" w:lineRule="auto"/>
        <w:rPr>
          <w:rFonts w:ascii="Times New Roman" w:hAnsi="Times New Roman" w:cs="Times New Roman"/>
          <w:color w:val="000000" w:themeColor="text1"/>
          <w:sz w:val="24"/>
          <w:szCs w:val="24"/>
        </w:rPr>
      </w:pPr>
    </w:p>
    <w:p w:rsidR="0051363E" w:rsidRPr="0051363E" w:rsidRDefault="0051363E" w:rsidP="0051363E">
      <w:pPr>
        <w:spacing w:before="60" w:after="200" w:line="276"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24"/>
          <w:szCs w:val="24"/>
        </w:rPr>
        <w:t xml:space="preserve"> </w:t>
      </w:r>
      <w:r w:rsidRPr="0051363E">
        <w:rPr>
          <w:rFonts w:ascii="Times New Roman" w:hAnsi="Times New Roman" w:cs="Times New Roman"/>
          <w:color w:val="000000" w:themeColor="text1"/>
          <w:sz w:val="18"/>
          <w:szCs w:val="18"/>
        </w:rPr>
        <w:t>Représentant du pouvoir adjudicateur : Président de la Communauté de Commune Centre Ouest (3CO)</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Pouvoir adjudicateur</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Désignation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bookmarkStart w:id="0" w:name="_Hlk118809240"/>
      <w:r w:rsidRPr="0051363E">
        <w:rPr>
          <w:rFonts w:ascii="Times New Roman" w:hAnsi="Times New Roman" w:cs="Times New Roman"/>
          <w:color w:val="000000" w:themeColor="text1"/>
          <w:sz w:val="18"/>
          <w:szCs w:val="18"/>
        </w:rPr>
        <w:t>Communauté de Commune Centre Ouest (3CO)</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 xml:space="preserve">1444 Avenue </w:t>
      </w:r>
      <w:proofErr w:type="spellStart"/>
      <w:r w:rsidRPr="0051363E">
        <w:rPr>
          <w:rFonts w:ascii="Times New Roman" w:hAnsi="Times New Roman" w:cs="Times New Roman"/>
          <w:color w:val="000000" w:themeColor="text1"/>
          <w:sz w:val="18"/>
          <w:szCs w:val="18"/>
        </w:rPr>
        <w:t>Zoubert</w:t>
      </w:r>
      <w:proofErr w:type="spellEnd"/>
      <w:r w:rsidRPr="0051363E">
        <w:rPr>
          <w:rFonts w:ascii="Times New Roman" w:hAnsi="Times New Roman" w:cs="Times New Roman"/>
          <w:color w:val="000000" w:themeColor="text1"/>
          <w:sz w:val="18"/>
          <w:szCs w:val="18"/>
        </w:rPr>
        <w:t xml:space="preserve"> </w:t>
      </w:r>
      <w:proofErr w:type="spellStart"/>
      <w:r w:rsidRPr="0051363E">
        <w:rPr>
          <w:rFonts w:ascii="Times New Roman" w:hAnsi="Times New Roman" w:cs="Times New Roman"/>
          <w:color w:val="000000" w:themeColor="text1"/>
          <w:sz w:val="18"/>
          <w:szCs w:val="18"/>
        </w:rPr>
        <w:t>Adinani</w:t>
      </w:r>
      <w:proofErr w:type="spellEnd"/>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roofErr w:type="spellStart"/>
      <w:r w:rsidRPr="0051363E">
        <w:rPr>
          <w:rFonts w:ascii="Times New Roman" w:hAnsi="Times New Roman" w:cs="Times New Roman"/>
          <w:color w:val="000000" w:themeColor="text1"/>
          <w:sz w:val="18"/>
          <w:szCs w:val="18"/>
        </w:rPr>
        <w:t>Mroalé</w:t>
      </w:r>
      <w:proofErr w:type="spellEnd"/>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97680 TSINGONI</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Téléphone : (+262) 269.63.76.76</w:t>
      </w:r>
    </w:p>
    <w:bookmarkEnd w:id="0"/>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Fax : (+262) 269.63.76.77</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Adresse internet : https://www.3co-mayotte.fr/</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Statut : Communauté de communes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 xml:space="preserve">Activité(s) principale(s) : </w:t>
      </w:r>
    </w:p>
    <w:p w:rsidR="00A35C82" w:rsidRPr="0051363E" w:rsidRDefault="00A35C82" w:rsidP="0051363E">
      <w:pPr>
        <w:numPr>
          <w:ilvl w:val="0"/>
          <w:numId w:val="13"/>
        </w:numPr>
        <w:autoSpaceDE w:val="0"/>
        <w:autoSpaceDN w:val="0"/>
        <w:adjustRightInd w:val="0"/>
        <w:spacing w:before="100" w:after="0" w:line="240" w:lineRule="auto"/>
        <w:ind w:left="580" w:hanging="250"/>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Services généraux des administrations publiques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Le pouvoir adjudicateur n'agit pas pour le compte d'autres pouvoirs adjudicateurs.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 xml:space="preserve">Profil d'acheteur : </w:t>
      </w:r>
      <w:r w:rsidRPr="0051363E">
        <w:rPr>
          <w:rFonts w:ascii="Times New Roman" w:hAnsi="Times New Roman" w:cs="Times New Roman"/>
          <w:color w:val="000000" w:themeColor="text1"/>
          <w:sz w:val="18"/>
          <w:szCs w:val="18"/>
        </w:rPr>
        <w:t>https://www.marches-securises.fr</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L'avis concerne un marché.</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Objet du marché</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Assistance à maîtrise d'ouvrage pour le développement d'un programme d'accueil séniors - Assistance à maîtrise d'ouvrage pour le développement d'un programme d'accueil séniors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 xml:space="preserve">Marché couvert par l'accord sur les marchés publics (AMP) </w:t>
      </w:r>
      <w:proofErr w:type="gramStart"/>
      <w:r w:rsidRPr="0051363E">
        <w:rPr>
          <w:rFonts w:ascii="Times New Roman" w:hAnsi="Times New Roman" w:cs="Times New Roman"/>
          <w:color w:val="000000" w:themeColor="text1"/>
          <w:sz w:val="18"/>
          <w:szCs w:val="18"/>
        </w:rPr>
        <w:t>:non</w:t>
      </w:r>
      <w:proofErr w:type="gramEnd"/>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Forme du marché : Marché(s) ordinaire(s)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Type de marché de services : Services courants hors services sociaux, spécifiques et juridiques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 xml:space="preserve">Lieu principal d'exécution : </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Siège de la 3CO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 xml:space="preserve">1444 avenue </w:t>
      </w:r>
      <w:proofErr w:type="spellStart"/>
      <w:r w:rsidRPr="0051363E">
        <w:rPr>
          <w:rFonts w:ascii="Times New Roman" w:hAnsi="Times New Roman" w:cs="Times New Roman"/>
          <w:color w:val="000000" w:themeColor="text1"/>
          <w:sz w:val="18"/>
          <w:szCs w:val="18"/>
        </w:rPr>
        <w:t>Zoubert</w:t>
      </w:r>
      <w:proofErr w:type="spellEnd"/>
      <w:r w:rsidRPr="0051363E">
        <w:rPr>
          <w:rFonts w:ascii="Times New Roman" w:hAnsi="Times New Roman" w:cs="Times New Roman"/>
          <w:color w:val="000000" w:themeColor="text1"/>
          <w:sz w:val="18"/>
          <w:szCs w:val="18"/>
        </w:rPr>
        <w:t xml:space="preserve"> </w:t>
      </w:r>
      <w:proofErr w:type="spellStart"/>
      <w:r w:rsidRPr="0051363E">
        <w:rPr>
          <w:rFonts w:ascii="Times New Roman" w:hAnsi="Times New Roman" w:cs="Times New Roman"/>
          <w:color w:val="000000" w:themeColor="text1"/>
          <w:sz w:val="18"/>
          <w:szCs w:val="18"/>
        </w:rPr>
        <w:t>Adinani</w:t>
      </w:r>
      <w:proofErr w:type="spellEnd"/>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97680 TSINGONI</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Code NUTS : FRY50</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CPV global à la consultation</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CPV principal :</w:t>
      </w:r>
      <w:r w:rsidRPr="0051363E">
        <w:rPr>
          <w:rFonts w:ascii="Times New Roman" w:hAnsi="Times New Roman" w:cs="Times New Roman"/>
          <w:color w:val="000000" w:themeColor="text1"/>
          <w:sz w:val="18"/>
          <w:szCs w:val="18"/>
        </w:rPr>
        <w:t xml:space="preserve"> 85311100-3</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Les prestations sont traitées à prix forfaitaires.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lastRenderedPageBreak/>
        <w:t>Dévolution en marché unique.</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Il n'est pas prévu de variantes exigées et les variantes ne sont pas autorisées.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Le marché a une durée prévisionnelle de 6 mois.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Il n'est pas prévu de retenue de garantie.</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Avance : Il n'est pas prévu</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Il n'est pas prévu d'avance.</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Interdiction de soumissionner</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L'acheteur, en vertu des articles L2141-7 à L2141-11 du code de la commande publique, peut exclure les candidatures se trouvant dans les situations qui y sont décrites, en particulier dans les cas qui suivent, sous réserve que dans un délai de 5 jours à compter de la réception d'un courrier l'y invitant, le candidat démontre qu'il a pris les mesures nécessaires pour corriger les manquements qui lui sont reprochés et, le cas échéant, que sa participation à la procédure de passation du marché public n'est pas susceptible de porter atteinte à l'égalité de traitement.</w:t>
      </w:r>
    </w:p>
    <w:p w:rsidR="00F02259" w:rsidRPr="0051363E" w:rsidRDefault="00F02259"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L'acheteur exclut les personnes qui ont entrepris d'influer indûment sur le processus décisionnel de l'acheteur ou d'obtenir des informations confidentielles susceptibles de leur donner un avantage indu lors de la procédure de passation du marché public, ou ont fourni des informations trompeuses susceptibles d'avoir une influence déterminante sur les décisions d'exclusion, de sélection ou d'attribution.</w:t>
      </w:r>
    </w:p>
    <w:p w:rsidR="00F02259" w:rsidRPr="0051363E" w:rsidRDefault="00F02259"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L'acheteur exclut les personnes qui, par leur participation préalable directe ou indirecte à la préparation de la procédure de passation du marché public, ont eu accès à des informations susceptibles de créer une distorsion de concurrence par rapport aux autres candidats, lorsqu'il ne peut être remédié à cette situation par d'autres moyens.</w:t>
      </w:r>
    </w:p>
    <w:p w:rsidR="00F02259" w:rsidRPr="0051363E" w:rsidRDefault="00F02259"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L'acheteur exclut les personnes à l'égard desquelles l'acheteur dispose d'éléments suffisamment probants ou constituant un faisceau d'indices graves, sérieux et concordants pour en déduire qu'elles ont conclu une entente avec d'autres opérateurs économiques en vue de fausser la concurrence.</w:t>
      </w:r>
    </w:p>
    <w:p w:rsidR="00F02259" w:rsidRPr="0051363E" w:rsidRDefault="00F02259"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L'acheteur exclut les personnes qui, par leur candidature, créent une situation de conflit d'intérêts, lorsqu'il ne peut y être remédié par d'autres moyens. Constitue une situation de conflit d'intérêts toute situation dans laquelle une personne qui participe au déroulement de la procédure de passation du marché public ou est susceptible d'en influencer l'issue a, directement ou indirectement, un intérêt financier, économique ou tout autre intérêt personnel qui pourrait compromettre son impartialité ou son indépendance dans le cadre de la procédure de passation du marché public.</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Présentation de candidature :</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 xml:space="preserve">Dépôt </w:t>
      </w:r>
      <w:r w:rsidR="00F02259" w:rsidRPr="0051363E">
        <w:rPr>
          <w:rFonts w:ascii="Times New Roman" w:hAnsi="Times New Roman" w:cs="Times New Roman"/>
          <w:color w:val="000000" w:themeColor="text1"/>
          <w:sz w:val="18"/>
          <w:szCs w:val="18"/>
        </w:rPr>
        <w:t>classique :</w:t>
      </w:r>
      <w:r w:rsidRPr="0051363E">
        <w:rPr>
          <w:rFonts w:ascii="Times New Roman" w:hAnsi="Times New Roman" w:cs="Times New Roman"/>
          <w:color w:val="000000" w:themeColor="text1"/>
          <w:sz w:val="18"/>
          <w:szCs w:val="18"/>
        </w:rPr>
        <w:t xml:space="preserve"> La candidature peut être faite au moyen des formulaires DC1 et DC2 (formulaires à jour sur le site http://www.economie.gouv.fr/daj/formulaires-declaration-du-candidat) ou du DUME (document unique de marché européen, voir site</w:t>
      </w:r>
      <w:r w:rsidR="00F02259" w:rsidRPr="0051363E">
        <w:rPr>
          <w:rFonts w:ascii="Times New Roman" w:hAnsi="Times New Roman" w:cs="Times New Roman"/>
          <w:color w:val="000000" w:themeColor="text1"/>
          <w:sz w:val="18"/>
          <w:szCs w:val="18"/>
        </w:rPr>
        <w:t xml:space="preserve"> : https://dume.chorus-pro.gouv.fr/</w:t>
      </w:r>
      <w:r w:rsidRPr="0051363E">
        <w:rPr>
          <w:rFonts w:ascii="Times New Roman" w:hAnsi="Times New Roman" w:cs="Times New Roman"/>
          <w:color w:val="000000" w:themeColor="text1"/>
          <w:sz w:val="18"/>
          <w:szCs w:val="18"/>
        </w:rPr>
        <w:t>).</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Conditions de participation et moyens de preuve acceptables :</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 xml:space="preserve">Les documents et renseignements demandés par l'acheteur aux fins de vérification de l'aptitude à exercer l'activité professionnelle, de la capacité économique et financière et des capacités techniques et professionnelles du candidat </w:t>
      </w:r>
      <w:r w:rsidR="00F02259" w:rsidRPr="0051363E">
        <w:rPr>
          <w:rFonts w:ascii="Times New Roman" w:hAnsi="Times New Roman" w:cs="Times New Roman"/>
          <w:color w:val="000000" w:themeColor="text1"/>
          <w:sz w:val="18"/>
          <w:szCs w:val="18"/>
        </w:rPr>
        <w:t>sont :</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before="100" w:after="100" w:line="240" w:lineRule="auto"/>
        <w:ind w:left="580"/>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Capacité économique et financière :</w:t>
      </w:r>
      <w:r w:rsidRPr="0051363E">
        <w:rPr>
          <w:rFonts w:ascii="Times New Roman" w:hAnsi="Times New Roman" w:cs="Times New Roman"/>
          <w:color w:val="000000" w:themeColor="text1"/>
          <w:sz w:val="18"/>
          <w:szCs w:val="18"/>
        </w:rPr>
        <w:t xml:space="preserve"> </w:t>
      </w:r>
    </w:p>
    <w:p w:rsidR="00A35C82" w:rsidRPr="0051363E" w:rsidRDefault="00A35C82" w:rsidP="0051363E">
      <w:pPr>
        <w:numPr>
          <w:ilvl w:val="0"/>
          <w:numId w:val="18"/>
        </w:numPr>
        <w:autoSpaceDE w:val="0"/>
        <w:autoSpaceDN w:val="0"/>
        <w:adjustRightInd w:val="0"/>
        <w:spacing w:after="0" w:line="240" w:lineRule="auto"/>
        <w:ind w:left="580" w:hanging="250"/>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Indications concernant le chiffre d'affaires annuel général sur 3 ans.</w:t>
      </w:r>
    </w:p>
    <w:p w:rsidR="00A35C82" w:rsidRPr="0051363E" w:rsidRDefault="00A35C82" w:rsidP="0051363E">
      <w:pPr>
        <w:numPr>
          <w:ilvl w:val="0"/>
          <w:numId w:val="18"/>
        </w:numPr>
        <w:autoSpaceDE w:val="0"/>
        <w:autoSpaceDN w:val="0"/>
        <w:adjustRightInd w:val="0"/>
        <w:spacing w:after="0" w:line="240" w:lineRule="auto"/>
        <w:ind w:left="580" w:hanging="250"/>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Capacité technique et professionnelle :</w:t>
      </w:r>
      <w:r w:rsidRPr="0051363E">
        <w:rPr>
          <w:rFonts w:ascii="Times New Roman" w:hAnsi="Times New Roman" w:cs="Times New Roman"/>
          <w:color w:val="000000" w:themeColor="text1"/>
          <w:sz w:val="18"/>
          <w:szCs w:val="18"/>
        </w:rPr>
        <w:t xml:space="preserve"> </w:t>
      </w:r>
    </w:p>
    <w:p w:rsidR="00A35C82" w:rsidRPr="0051363E" w:rsidRDefault="00A35C82" w:rsidP="0051363E">
      <w:pPr>
        <w:numPr>
          <w:ilvl w:val="0"/>
          <w:numId w:val="18"/>
        </w:numPr>
        <w:autoSpaceDE w:val="0"/>
        <w:autoSpaceDN w:val="0"/>
        <w:adjustRightInd w:val="0"/>
        <w:spacing w:after="0" w:line="240" w:lineRule="auto"/>
        <w:ind w:left="580" w:hanging="250"/>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Références des principales fournitures ou des principaux services fournis sur 3 ans.</w:t>
      </w:r>
    </w:p>
    <w:p w:rsidR="00A35C82" w:rsidRPr="0051363E" w:rsidRDefault="00A35C82" w:rsidP="0051363E">
      <w:pPr>
        <w:numPr>
          <w:ilvl w:val="0"/>
          <w:numId w:val="18"/>
        </w:numPr>
        <w:autoSpaceDE w:val="0"/>
        <w:autoSpaceDN w:val="0"/>
        <w:adjustRightInd w:val="0"/>
        <w:spacing w:after="0" w:line="240" w:lineRule="auto"/>
        <w:ind w:left="580" w:hanging="250"/>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Titres d'études et professionnels exigés du prestataire de services ou du contractant lui-même</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Procédure :</w:t>
      </w:r>
      <w:r w:rsidRPr="0051363E">
        <w:rPr>
          <w:rFonts w:ascii="Times New Roman" w:hAnsi="Times New Roman" w:cs="Times New Roman"/>
          <w:color w:val="000000" w:themeColor="text1"/>
          <w:sz w:val="18"/>
          <w:szCs w:val="18"/>
        </w:rPr>
        <w:t xml:space="preserve"> MAPA ouvert</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b/>
          <w:color w:val="000000" w:themeColor="text1"/>
          <w:sz w:val="18"/>
          <w:szCs w:val="18"/>
        </w:rPr>
      </w:pPr>
      <w:r w:rsidRPr="0051363E">
        <w:rPr>
          <w:rFonts w:ascii="Times New Roman" w:hAnsi="Times New Roman" w:cs="Times New Roman"/>
          <w:b/>
          <w:color w:val="000000" w:themeColor="text1"/>
          <w:sz w:val="18"/>
          <w:szCs w:val="18"/>
        </w:rPr>
        <w:t>Critères d'attribution</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Le classement des offres et le choix du/des attributaire(s) sont fondés sur l'offre économiquement la plus avantageuse appréciée en fonction des critères pondérés énoncés ci-dessous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1.</w:t>
      </w:r>
      <w:r w:rsidRPr="0051363E">
        <w:rPr>
          <w:rFonts w:ascii="Times New Roman" w:hAnsi="Times New Roman" w:cs="Times New Roman"/>
          <w:color w:val="000000" w:themeColor="text1"/>
          <w:sz w:val="18"/>
          <w:szCs w:val="18"/>
        </w:rPr>
        <w:t xml:space="preserve"> Critère Prix des prestations</w:t>
      </w:r>
    </w:p>
    <w:p w:rsidR="00A35C82" w:rsidRPr="0051363E" w:rsidRDefault="00F02259"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Pondéré</w:t>
      </w:r>
      <w:r w:rsidR="00A35C82" w:rsidRPr="0051363E">
        <w:rPr>
          <w:rFonts w:ascii="Times New Roman" w:hAnsi="Times New Roman" w:cs="Times New Roman"/>
          <w:color w:val="000000" w:themeColor="text1"/>
          <w:sz w:val="18"/>
          <w:szCs w:val="18"/>
        </w:rPr>
        <w:t xml:space="preserve"> à 40 sur 100 points.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2.</w:t>
      </w:r>
      <w:r w:rsidRPr="0051363E">
        <w:rPr>
          <w:rFonts w:ascii="Times New Roman" w:hAnsi="Times New Roman" w:cs="Times New Roman"/>
          <w:color w:val="000000" w:themeColor="text1"/>
          <w:sz w:val="18"/>
          <w:szCs w:val="18"/>
        </w:rPr>
        <w:t xml:space="preserve"> Critère Valeur technique</w:t>
      </w:r>
    </w:p>
    <w:p w:rsidR="00A35C82" w:rsidRPr="0051363E" w:rsidRDefault="00F02259"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Pondéré</w:t>
      </w:r>
      <w:r w:rsidR="00A35C82" w:rsidRPr="0051363E">
        <w:rPr>
          <w:rFonts w:ascii="Times New Roman" w:hAnsi="Times New Roman" w:cs="Times New Roman"/>
          <w:color w:val="000000" w:themeColor="text1"/>
          <w:sz w:val="18"/>
          <w:szCs w:val="18"/>
        </w:rPr>
        <w:t xml:space="preserve"> à 60 sur 100 points.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 valeur technique sera appréciée via une notice, un mémoire de présentation (15 pages maximum) portant sur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lastRenderedPageBreak/>
        <w:t>- La pertinence de la composition de l'équipe retenue pour répondre aux enjeux de projet. Outre les compétences des intervenants, cette partie devra également faire apparaître des références similaires à la demande d'étude (20 points).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 compréhension des enjeux et la méthodologie proposée permettant d'atteindre les objectifs dans ce cahier des charges (30 points).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Un planning détaillant, par phase, le temps passé pour répondre aux objectifs de cette étude (10 points).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Renseignements d'ordre administratif :</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Numéro de référence du marché : 3CO22M050</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 présente consultation est une consultation initiale.</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i/>
          <w:color w:val="000000" w:themeColor="text1"/>
          <w:sz w:val="18"/>
          <w:szCs w:val="18"/>
        </w:rPr>
        <w:t>Date d'envoi du présent avis à la publication :</w:t>
      </w:r>
      <w:r w:rsidRPr="0051363E">
        <w:rPr>
          <w:rFonts w:ascii="Times New Roman" w:hAnsi="Times New Roman" w:cs="Times New Roman"/>
          <w:color w:val="000000" w:themeColor="text1"/>
          <w:sz w:val="18"/>
          <w:szCs w:val="18"/>
        </w:rPr>
        <w:t xml:space="preserve"> 08/11/2022</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i/>
          <w:color w:val="000000" w:themeColor="text1"/>
          <w:sz w:val="18"/>
          <w:szCs w:val="18"/>
        </w:rPr>
        <w:t>Date limite de réception des offres :</w:t>
      </w:r>
      <w:r w:rsidRPr="0051363E">
        <w:rPr>
          <w:rFonts w:ascii="Times New Roman" w:hAnsi="Times New Roman" w:cs="Times New Roman"/>
          <w:color w:val="000000" w:themeColor="text1"/>
          <w:sz w:val="18"/>
          <w:szCs w:val="18"/>
        </w:rPr>
        <w:t xml:space="preserve"> 30/11/2022 à 16:00</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Le soumissionnaire est tenu de maintenir son offre pendant un délai de 120 jours à compter de la date limite de réception des offres.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b/>
          <w:color w:val="000000" w:themeColor="text1"/>
          <w:sz w:val="18"/>
          <w:szCs w:val="18"/>
        </w:rPr>
      </w:pPr>
      <w:r w:rsidRPr="0051363E">
        <w:rPr>
          <w:rFonts w:ascii="Times New Roman" w:hAnsi="Times New Roman" w:cs="Times New Roman"/>
          <w:b/>
          <w:color w:val="000000" w:themeColor="text1"/>
          <w:sz w:val="18"/>
          <w:szCs w:val="18"/>
        </w:rPr>
        <w:t>Délivrance du DCE</w:t>
      </w:r>
    </w:p>
    <w:p w:rsidR="00281D03"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Le dossier de consultation est téléchargeable sur le profil d'acheteur</w:t>
      </w:r>
      <w:r w:rsidR="00281D03" w:rsidRPr="0051363E">
        <w:rPr>
          <w:rFonts w:ascii="Times New Roman" w:hAnsi="Times New Roman" w:cs="Times New Roman"/>
          <w:color w:val="000000" w:themeColor="text1"/>
          <w:sz w:val="18"/>
          <w:szCs w:val="18"/>
        </w:rPr>
        <w:t> : https://www.marches-securises.fr/.</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b/>
          <w:color w:val="000000" w:themeColor="text1"/>
          <w:sz w:val="18"/>
          <w:szCs w:val="18"/>
        </w:rPr>
      </w:pPr>
      <w:r w:rsidRPr="0051363E">
        <w:rPr>
          <w:rFonts w:ascii="Times New Roman" w:hAnsi="Times New Roman" w:cs="Times New Roman"/>
          <w:b/>
          <w:color w:val="000000" w:themeColor="text1"/>
          <w:sz w:val="18"/>
          <w:szCs w:val="18"/>
        </w:rPr>
        <w:t>Modalités essentielles de financement et de paiement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Le délai global de paiement des prestations est fixé à 30 jours.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b/>
          <w:color w:val="000000" w:themeColor="text1"/>
          <w:sz w:val="18"/>
          <w:szCs w:val="18"/>
        </w:rPr>
      </w:pPr>
      <w:r w:rsidRPr="0051363E">
        <w:rPr>
          <w:rFonts w:ascii="Times New Roman" w:hAnsi="Times New Roman" w:cs="Times New Roman"/>
          <w:b/>
          <w:color w:val="000000" w:themeColor="text1"/>
          <w:sz w:val="18"/>
          <w:szCs w:val="18"/>
        </w:rPr>
        <w:t>Avis périodique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Il ne s'agit pas d'un marché périodique.</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Forme juridique que devra revêtir le groupement d'opérateurs économiques attributaire du marché :</w:t>
      </w:r>
      <w:r w:rsidRPr="0051363E">
        <w:rPr>
          <w:rFonts w:ascii="Times New Roman" w:hAnsi="Times New Roman" w:cs="Times New Roman"/>
          <w:color w:val="000000" w:themeColor="text1"/>
          <w:sz w:val="18"/>
          <w:szCs w:val="18"/>
        </w:rPr>
        <w:t xml:space="preserve"> Après attribution, aucune forme de groupement ne sera exigée.</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 même entreprise ne peut pas présenter pour le marché ou un de ses lots plusieurs offres, en agissant à la fois en qualité de candidat individuel et de membre d'un ou plusieurs groupements.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Instance chargée des procédures de recours :</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Tribunal administratif de Mamoudzou</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b/>
          <w:color w:val="000000" w:themeColor="text1"/>
          <w:sz w:val="18"/>
          <w:szCs w:val="18"/>
        </w:rPr>
      </w:pPr>
      <w:r w:rsidRPr="0051363E">
        <w:rPr>
          <w:rFonts w:ascii="Times New Roman" w:hAnsi="Times New Roman" w:cs="Times New Roman"/>
          <w:b/>
          <w:color w:val="000000" w:themeColor="text1"/>
          <w:sz w:val="18"/>
          <w:szCs w:val="18"/>
        </w:rPr>
        <w:t>Conditions de remise des candidatures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 transmission des candidatures se fait obligatoirement par voie électronique via le profil d'acheteur : https://www.marches-securises.fr/.</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Un mode d'emploi est disponible sur le site. Les frais d'accès au réseau sont à la charge des candidats.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 remise des candidatures contre récépissé n'est pas autorisée.</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La présentation d'une candidature sous forme d'un support physique électronique n'est pas autorisée.</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L'envoi des candidatures par voie postale n'est pas autorisé.</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b/>
          <w:color w:val="000000" w:themeColor="text1"/>
          <w:sz w:val="18"/>
          <w:szCs w:val="18"/>
        </w:rPr>
      </w:pPr>
      <w:r w:rsidRPr="0051363E">
        <w:rPr>
          <w:rFonts w:ascii="Times New Roman" w:hAnsi="Times New Roman" w:cs="Times New Roman"/>
          <w:b/>
          <w:color w:val="000000" w:themeColor="text1"/>
          <w:sz w:val="18"/>
          <w:szCs w:val="18"/>
        </w:rPr>
        <w:t>Signature des documents transmis par le candidat</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Il n'est pas exigé des candidats que l'acte d'engagement soit signé(e) au stade de la réception des offres. Seul l'attributaire devra impérativement signer électroniquement l'acte d'engagement.</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En cas de groupement l'acte d'engagement sera signé(e) par chaque membre du groupement ou par le mandataire dument habilité par un document d'habilitation (copie de la convention de groupement ou acte spécifique d'habilitation).</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Ce document d'habilitation devra être fourni, signé de façon électronique par les autres membres du groupement, dès le stade de la réception des candidatures.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L'obligation de signature électronique se fait conformément aux conditions fixées par l'arrêté du 22 mars 2019 relatif à la signature électronique des contrats de la commande publique.</w:t>
      </w:r>
    </w:p>
    <w:p w:rsidR="00F02259" w:rsidRPr="0051363E" w:rsidRDefault="00F02259" w:rsidP="0051363E">
      <w:pPr>
        <w:autoSpaceDE w:val="0"/>
        <w:autoSpaceDN w:val="0"/>
        <w:adjustRightInd w:val="0"/>
        <w:spacing w:after="0" w:line="240" w:lineRule="auto"/>
        <w:rPr>
          <w:rFonts w:ascii="Times New Roman" w:hAnsi="Times New Roman" w:cs="Times New Roman"/>
          <w:b/>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b/>
          <w:color w:val="000000" w:themeColor="text1"/>
          <w:sz w:val="18"/>
          <w:szCs w:val="18"/>
        </w:rPr>
      </w:pPr>
      <w:r w:rsidRPr="0051363E">
        <w:rPr>
          <w:rFonts w:ascii="Times New Roman" w:hAnsi="Times New Roman" w:cs="Times New Roman"/>
          <w:b/>
          <w:color w:val="000000" w:themeColor="text1"/>
          <w:sz w:val="18"/>
          <w:szCs w:val="18"/>
        </w:rPr>
        <w:t>Autres Informations</w:t>
      </w:r>
    </w:p>
    <w:p w:rsidR="00A35C82" w:rsidRPr="0051363E" w:rsidRDefault="00A35C82" w:rsidP="0051363E">
      <w:pPr>
        <w:autoSpaceDE w:val="0"/>
        <w:autoSpaceDN w:val="0"/>
        <w:adjustRightInd w:val="0"/>
        <w:spacing w:after="0" w:line="240" w:lineRule="auto"/>
        <w:rPr>
          <w:rFonts w:ascii="Times New Roman" w:hAnsi="Times New Roman" w:cs="Times New Roman"/>
          <w:b/>
          <w:color w:val="000000" w:themeColor="text1"/>
          <w:sz w:val="18"/>
          <w:szCs w:val="18"/>
        </w:rPr>
      </w:pPr>
      <w:r w:rsidRPr="0051363E">
        <w:rPr>
          <w:rFonts w:ascii="Times New Roman" w:hAnsi="Times New Roman" w:cs="Times New Roman"/>
          <w:b/>
          <w:color w:val="000000" w:themeColor="text1"/>
          <w:sz w:val="18"/>
          <w:szCs w:val="18"/>
        </w:rPr>
        <w:t>Les candidats ne sont pas tenus de fournir les documents et renseignements qu'ils ont déjà transmis dans une précédente consultation et qui demeurent valables.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Qualification et niveau d'expérience exigé des candidats :</w:t>
      </w:r>
      <w:r w:rsidRPr="0051363E">
        <w:rPr>
          <w:rFonts w:ascii="Times New Roman" w:hAnsi="Times New Roman" w:cs="Times New Roman"/>
          <w:color w:val="000000" w:themeColor="text1"/>
          <w:sz w:val="18"/>
          <w:szCs w:val="18"/>
        </w:rPr>
        <w:t xml:space="preserv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RAS.</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b/>
          <w:color w:val="000000" w:themeColor="text1"/>
          <w:sz w:val="18"/>
          <w:szCs w:val="18"/>
        </w:rPr>
        <w:t xml:space="preserve">Adresse auprès de laquelle des renseignements complémentaires peuvent être obtenus : </w:t>
      </w:r>
      <w:r w:rsidRPr="0051363E">
        <w:rPr>
          <w:rFonts w:ascii="Times New Roman" w:hAnsi="Times New Roman" w:cs="Times New Roman"/>
          <w:color w:val="000000" w:themeColor="text1"/>
          <w:sz w:val="18"/>
          <w:szCs w:val="18"/>
        </w:rPr>
        <w:t xml:space="preserve"> </w:t>
      </w:r>
    </w:p>
    <w:p w:rsidR="00A35C82" w:rsidRPr="0051363E" w:rsidRDefault="00281D03" w:rsidP="0051363E">
      <w:pPr>
        <w:numPr>
          <w:ilvl w:val="0"/>
          <w:numId w:val="13"/>
        </w:numPr>
        <w:autoSpaceDE w:val="0"/>
        <w:autoSpaceDN w:val="0"/>
        <w:adjustRightInd w:val="0"/>
        <w:spacing w:after="0" w:line="240" w:lineRule="auto"/>
        <w:ind w:left="580" w:hanging="250"/>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Pour</w:t>
      </w:r>
      <w:r w:rsidR="00A35C82" w:rsidRPr="0051363E">
        <w:rPr>
          <w:rFonts w:ascii="Times New Roman" w:hAnsi="Times New Roman" w:cs="Times New Roman"/>
          <w:color w:val="000000" w:themeColor="text1"/>
          <w:sz w:val="18"/>
          <w:szCs w:val="18"/>
        </w:rPr>
        <w:t xml:space="preserve"> les renseignements d'ordre administratif et technique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lastRenderedPageBreak/>
        <w:t> </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Communauté de Commune Centre Ouest (3CO)</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 xml:space="preserve">Adresse : 1444 Avenue </w:t>
      </w:r>
      <w:proofErr w:type="spellStart"/>
      <w:r w:rsidRPr="0051363E">
        <w:rPr>
          <w:rFonts w:ascii="Times New Roman" w:hAnsi="Times New Roman" w:cs="Times New Roman"/>
          <w:color w:val="000000" w:themeColor="text1"/>
          <w:sz w:val="18"/>
          <w:szCs w:val="18"/>
        </w:rPr>
        <w:t>Zoubert</w:t>
      </w:r>
      <w:proofErr w:type="spellEnd"/>
      <w:r w:rsidRPr="0051363E">
        <w:rPr>
          <w:rFonts w:ascii="Times New Roman" w:hAnsi="Times New Roman" w:cs="Times New Roman"/>
          <w:color w:val="000000" w:themeColor="text1"/>
          <w:sz w:val="18"/>
          <w:szCs w:val="18"/>
        </w:rPr>
        <w:t xml:space="preserve"> </w:t>
      </w:r>
      <w:proofErr w:type="spellStart"/>
      <w:r w:rsidRPr="0051363E">
        <w:rPr>
          <w:rFonts w:ascii="Times New Roman" w:hAnsi="Times New Roman" w:cs="Times New Roman"/>
          <w:color w:val="000000" w:themeColor="text1"/>
          <w:sz w:val="18"/>
          <w:szCs w:val="18"/>
        </w:rPr>
        <w:t>Adinani</w:t>
      </w:r>
      <w:proofErr w:type="spellEnd"/>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roofErr w:type="spellStart"/>
      <w:r w:rsidRPr="0051363E">
        <w:rPr>
          <w:rFonts w:ascii="Times New Roman" w:hAnsi="Times New Roman" w:cs="Times New Roman"/>
          <w:color w:val="000000" w:themeColor="text1"/>
          <w:sz w:val="18"/>
          <w:szCs w:val="18"/>
        </w:rPr>
        <w:t>Mroalé</w:t>
      </w:r>
      <w:proofErr w:type="spellEnd"/>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97680 TSINGONI</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Tél : (+262) 269.63.76.76</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Fax : (+262) 269.63.76.77</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r w:rsidRPr="0051363E">
        <w:rPr>
          <w:rFonts w:ascii="Times New Roman" w:hAnsi="Times New Roman" w:cs="Times New Roman"/>
          <w:color w:val="000000" w:themeColor="text1"/>
          <w:sz w:val="18"/>
          <w:szCs w:val="18"/>
        </w:rPr>
        <w:t>Adresse Internet : https://www.3co-mayotte.fr/</w:t>
      </w: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p w:rsidR="00A35C82" w:rsidRPr="0051363E" w:rsidRDefault="00A35C82" w:rsidP="0051363E">
      <w:pPr>
        <w:autoSpaceDE w:val="0"/>
        <w:autoSpaceDN w:val="0"/>
        <w:adjustRightInd w:val="0"/>
        <w:spacing w:after="0" w:line="240" w:lineRule="auto"/>
        <w:rPr>
          <w:rFonts w:ascii="Times New Roman" w:hAnsi="Times New Roman" w:cs="Times New Roman"/>
          <w:color w:val="000000" w:themeColor="text1"/>
          <w:sz w:val="18"/>
          <w:szCs w:val="18"/>
        </w:rPr>
      </w:pPr>
    </w:p>
    <w:sectPr w:rsidR="00A35C82" w:rsidRPr="0051363E" w:rsidSect="0043487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C82" w:rsidRDefault="00A35C82" w:rsidP="008570F7">
      <w:pPr>
        <w:spacing w:after="0" w:line="240" w:lineRule="auto"/>
        <w:rPr>
          <w:rFonts w:ascii="Arial" w:hAnsi="Arial" w:cs="Times New Roman"/>
          <w:sz w:val="20"/>
        </w:rPr>
      </w:pPr>
      <w:r>
        <w:rPr>
          <w:rFonts w:ascii="Times New Roman" w:hAnsi="Times New Roman" w:cs="Times New Roman"/>
          <w:sz w:val="24"/>
          <w:szCs w:val="24"/>
        </w:rPr>
        <w:t xml:space="preserve">  </w:t>
      </w:r>
      <w:r>
        <w:rPr>
          <w:rFonts w:ascii="Arial" w:hAnsi="Arial" w:cs="Times New Roman"/>
          <w:sz w:val="20"/>
        </w:rPr>
        <w:separator/>
      </w:r>
    </w:p>
  </w:endnote>
  <w:endnote w:type="continuationSeparator" w:id="1">
    <w:p w:rsidR="00A35C82" w:rsidRDefault="00A35C82" w:rsidP="008570F7">
      <w:pPr>
        <w:spacing w:after="0" w:line="240" w:lineRule="auto"/>
        <w:rPr>
          <w:rFonts w:ascii="Arial" w:hAnsi="Arial" w:cs="Times New Roman"/>
          <w:sz w:val="20"/>
        </w:rPr>
      </w:pPr>
      <w:r>
        <w:rPr>
          <w:rFonts w:ascii="Times New Roman" w:hAnsi="Times New Roman" w:cs="Times New Roman"/>
          <w:sz w:val="24"/>
          <w:szCs w:val="24"/>
        </w:rPr>
        <w:t xml:space="preserve">  </w:t>
      </w:r>
      <w:r>
        <w:rPr>
          <w:rFonts w:ascii="Arial" w:hAnsi="Arial" w:cs="Times New Roman"/>
          <w:sz w:val="20"/>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48" w:rsidRPr="008570F7" w:rsidRDefault="00CB0D48">
    <w:pPr>
      <w:tabs>
        <w:tab w:val="center" w:pos="4536"/>
        <w:tab w:val="right" w:pos="9072"/>
      </w:tabs>
      <w:spacing w:after="0" w:line="240" w:lineRule="auto"/>
      <w:rPr>
        <w:rFonts w:ascii="Arial" w:hAnsi="Arial"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C82" w:rsidRDefault="00A35C82" w:rsidP="008570F7">
      <w:pPr>
        <w:spacing w:after="0" w:line="240" w:lineRule="auto"/>
        <w:rPr>
          <w:rFonts w:ascii="Arial" w:hAnsi="Arial" w:cs="Times New Roman"/>
          <w:sz w:val="20"/>
        </w:rPr>
      </w:pPr>
      <w:r>
        <w:rPr>
          <w:rFonts w:ascii="Times New Roman" w:hAnsi="Times New Roman" w:cs="Times New Roman"/>
          <w:sz w:val="24"/>
          <w:szCs w:val="24"/>
        </w:rPr>
        <w:t xml:space="preserve">  </w:t>
      </w:r>
      <w:r>
        <w:rPr>
          <w:rFonts w:ascii="Arial" w:hAnsi="Arial" w:cs="Times New Roman"/>
          <w:sz w:val="20"/>
        </w:rPr>
        <w:separator/>
      </w:r>
    </w:p>
  </w:footnote>
  <w:footnote w:type="continuationSeparator" w:id="1">
    <w:p w:rsidR="00A35C82" w:rsidRDefault="00A35C82" w:rsidP="008570F7">
      <w:pPr>
        <w:spacing w:after="0" w:line="240" w:lineRule="auto"/>
        <w:rPr>
          <w:rFonts w:ascii="Arial" w:hAnsi="Arial" w:cs="Times New Roman"/>
          <w:sz w:val="20"/>
        </w:rPr>
      </w:pPr>
      <w:r>
        <w:rPr>
          <w:rFonts w:ascii="Times New Roman" w:hAnsi="Times New Roman" w:cs="Times New Roman"/>
          <w:sz w:val="24"/>
          <w:szCs w:val="24"/>
        </w:rPr>
        <w:t xml:space="preserve">  </w:t>
      </w:r>
      <w:r>
        <w:rPr>
          <w:rFonts w:ascii="Arial" w:hAnsi="Arial" w:cs="Times New Roman"/>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48" w:rsidRPr="000236E6" w:rsidRDefault="00A35C82" w:rsidP="000236E6">
    <w:pPr>
      <w:tabs>
        <w:tab w:val="center" w:pos="4536"/>
        <w:tab w:val="right" w:pos="9072"/>
      </w:tabs>
      <w:spacing w:after="100" w:afterAutospacing="1" w:line="240" w:lineRule="auto"/>
      <w:rPr>
        <w:rFonts w:ascii="Arial" w:hAnsi="Arial" w:cs="Times New Roman"/>
        <w:sz w:val="20"/>
      </w:rPr>
    </w:pPr>
    <w:r>
      <w:rPr>
        <w:rFonts w:ascii="Times New Roman" w:hAnsi="Times New Roman" w:cs="Times New Roman"/>
        <w:sz w:val="24"/>
        <w:szCs w:val="24"/>
      </w:rPr>
      <w:t xml:space="preserve"> </w:t>
    </w:r>
    <w:r w:rsidR="00873C01">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bullet"/>
      <w:lvlText w:val="*"/>
      <w:lvlJc w:val="left"/>
    </w:lvl>
  </w:abstractNum>
  <w:abstractNum w:abstractNumId="1">
    <w:nsid w:val="047107C5"/>
    <w:multiLevelType w:val="hybridMultilevel"/>
    <w:tmpl w:val="FFFFFFFF"/>
    <w:lvl w:ilvl="0" w:tplc="386E499C">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1C36D5"/>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113023"/>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CD7033"/>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2036C5"/>
    <w:multiLevelType w:val="hybridMultilevel"/>
    <w:tmpl w:val="FFFFFFFF"/>
    <w:lvl w:ilvl="0" w:tplc="D588655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ED41AB"/>
    <w:multiLevelType w:val="hybridMultilevel"/>
    <w:tmpl w:val="FFFFFFFF"/>
    <w:lvl w:ilvl="0" w:tplc="BC92DDF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CA2D08"/>
    <w:multiLevelType w:val="multilevel"/>
    <w:tmpl w:val="FFFFFFFF"/>
    <w:lvl w:ilvl="0">
      <w:start w:val="1"/>
      <w:numFmt w:val="decimal"/>
      <w:pStyle w:val="Normal"/>
      <w:lvlText w:val="%1"/>
      <w:lvlJc w:val="left"/>
      <w:pPr>
        <w:ind w:left="432" w:hanging="432"/>
      </w:pPr>
      <w:rPr>
        <w:rFonts w:cs="Times New Roman"/>
      </w:rPr>
    </w:lvl>
    <w:lvl w:ilvl="1">
      <w:start w:val="1"/>
      <w:numFmt w:val="decimal"/>
      <w:pStyle w:val="Normal"/>
      <w:lvlText w:val="%1.%2"/>
      <w:lvlJc w:val="left"/>
      <w:pPr>
        <w:ind w:left="576" w:hanging="576"/>
      </w:pPr>
      <w:rPr>
        <w:rFonts w:cs="Times New Roman"/>
      </w:rPr>
    </w:lvl>
    <w:lvl w:ilvl="2">
      <w:start w:val="1"/>
      <w:numFmt w:val="decimal"/>
      <w:pStyle w:val="Normal"/>
      <w:lvlText w:val="%1.%2.%3"/>
      <w:lvlJc w:val="left"/>
      <w:pPr>
        <w:ind w:left="720" w:hanging="720"/>
      </w:pPr>
      <w:rPr>
        <w:rFonts w:cs="Times New Roman"/>
      </w:rPr>
    </w:lvl>
    <w:lvl w:ilvl="3">
      <w:start w:val="1"/>
      <w:numFmt w:val="decimal"/>
      <w:pStyle w:val="Normal"/>
      <w:lvlText w:val="%1.%2.%3.%4"/>
      <w:lvlJc w:val="left"/>
      <w:pPr>
        <w:ind w:left="864" w:hanging="864"/>
      </w:pPr>
      <w:rPr>
        <w:rFonts w:cs="Times New Roman"/>
      </w:rPr>
    </w:lvl>
    <w:lvl w:ilvl="4">
      <w:start w:val="1"/>
      <w:numFmt w:val="decimal"/>
      <w:pStyle w:val="Normal"/>
      <w:lvlText w:val="%1.%2.%3.%4.%5"/>
      <w:lvlJc w:val="left"/>
      <w:pPr>
        <w:ind w:left="1008" w:hanging="1008"/>
      </w:pPr>
      <w:rPr>
        <w:rFonts w:cs="Times New Roman"/>
      </w:rPr>
    </w:lvl>
    <w:lvl w:ilvl="5">
      <w:start w:val="1"/>
      <w:numFmt w:val="decimal"/>
      <w:pStyle w:val="Normal"/>
      <w:lvlText w:val="%1.%2.%3.%4.%5.%6"/>
      <w:lvlJc w:val="left"/>
      <w:pPr>
        <w:ind w:left="1152" w:hanging="1152"/>
      </w:pPr>
      <w:rPr>
        <w:rFonts w:cs="Times New Roman"/>
      </w:rPr>
    </w:lvl>
    <w:lvl w:ilvl="6">
      <w:start w:val="1"/>
      <w:numFmt w:val="decimal"/>
      <w:pStyle w:val="Normal"/>
      <w:lvlText w:val="%1.%2.%3.%4.%5.%6.%7"/>
      <w:lvlJc w:val="left"/>
      <w:pPr>
        <w:ind w:left="1296" w:hanging="1296"/>
      </w:pPr>
      <w:rPr>
        <w:rFonts w:cs="Times New Roman"/>
      </w:rPr>
    </w:lvl>
    <w:lvl w:ilvl="7">
      <w:start w:val="1"/>
      <w:numFmt w:val="decimal"/>
      <w:pStyle w:val="Normal"/>
      <w:lvlText w:val="%1.%2.%3.%4.%5.%6.%7.%8"/>
      <w:lvlJc w:val="left"/>
      <w:pPr>
        <w:ind w:left="1440" w:hanging="1440"/>
      </w:pPr>
      <w:rPr>
        <w:rFonts w:cs="Times New Roman"/>
      </w:rPr>
    </w:lvl>
    <w:lvl w:ilvl="8">
      <w:start w:val="1"/>
      <w:numFmt w:val="decimal"/>
      <w:pStyle w:val="Normal"/>
      <w:lvlText w:val="%1.%2.%3.%4.%5.%6.%7.%8.%9"/>
      <w:lvlJc w:val="left"/>
      <w:pPr>
        <w:ind w:left="1584" w:hanging="1584"/>
      </w:pPr>
      <w:rPr>
        <w:rFonts w:cs="Times New Roman"/>
      </w:rPr>
    </w:lvl>
  </w:abstractNum>
  <w:abstractNum w:abstractNumId="8">
    <w:nsid w:val="312B6A98"/>
    <w:multiLevelType w:val="hybridMultilevel"/>
    <w:tmpl w:val="FFFFFFFF"/>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3BC7AAD"/>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7D2E63"/>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8323B2"/>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822116"/>
    <w:multiLevelType w:val="hybridMultilevel"/>
    <w:tmpl w:val="FFFFFFFF"/>
    <w:lvl w:ilvl="0" w:tplc="7E1A325A">
      <w:start w:val="236"/>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11726B"/>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B85F08"/>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55587D"/>
    <w:multiLevelType w:val="hybridMultilevel"/>
    <w:tmpl w:val="FFFFFFFF"/>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7D63162"/>
    <w:multiLevelType w:val="hybridMultilevel"/>
    <w:tmpl w:val="FFFFFFFF"/>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2"/>
  </w:num>
  <w:num w:numId="5">
    <w:abstractNumId w:val="14"/>
  </w:num>
  <w:num w:numId="6">
    <w:abstractNumId w:val="3"/>
  </w:num>
  <w:num w:numId="7">
    <w:abstractNumId w:val="9"/>
  </w:num>
  <w:num w:numId="8">
    <w:abstractNumId w:val="10"/>
  </w:num>
  <w:num w:numId="9">
    <w:abstractNumId w:val="4"/>
  </w:num>
  <w:num w:numId="10">
    <w:abstractNumId w:val="5"/>
  </w:num>
  <w:num w:numId="11">
    <w:abstractNumId w:val="12"/>
  </w:num>
  <w:num w:numId="12">
    <w:abstractNumId w:val="1"/>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6"/>
  </w:num>
  <w:num w:numId="15">
    <w:abstractNumId w:val="13"/>
  </w:num>
  <w:num w:numId="16">
    <w:abstractNumId w:val="8"/>
  </w:num>
  <w:num w:numId="17">
    <w:abstractNumId w:val="6"/>
  </w:num>
  <w:num w:numId="18">
    <w:abstractNumId w:val="0"/>
    <w:lvlOverride w:ilvl="0">
      <w:lvl w:ilvl="0">
        <w:numFmt w:val="bullet"/>
        <w:lvlText w:val=""/>
        <w:legacy w:legacy="1" w:legacySpace="0" w:legacyIndent="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570F7"/>
    <w:rsid w:val="000137E1"/>
    <w:rsid w:val="00021635"/>
    <w:rsid w:val="000236E6"/>
    <w:rsid w:val="00077249"/>
    <w:rsid w:val="00080FB7"/>
    <w:rsid w:val="00091E70"/>
    <w:rsid w:val="000B2493"/>
    <w:rsid w:val="000D74C1"/>
    <w:rsid w:val="0018149D"/>
    <w:rsid w:val="001827C0"/>
    <w:rsid w:val="001959A7"/>
    <w:rsid w:val="001C788C"/>
    <w:rsid w:val="00235033"/>
    <w:rsid w:val="002659B5"/>
    <w:rsid w:val="00281D03"/>
    <w:rsid w:val="002B09BB"/>
    <w:rsid w:val="002C5EC2"/>
    <w:rsid w:val="00323A56"/>
    <w:rsid w:val="003547D0"/>
    <w:rsid w:val="003872EB"/>
    <w:rsid w:val="003C116A"/>
    <w:rsid w:val="003C5F44"/>
    <w:rsid w:val="003F51D8"/>
    <w:rsid w:val="00425498"/>
    <w:rsid w:val="0043487A"/>
    <w:rsid w:val="004C6132"/>
    <w:rsid w:val="00505F64"/>
    <w:rsid w:val="0051363E"/>
    <w:rsid w:val="00513774"/>
    <w:rsid w:val="00551E28"/>
    <w:rsid w:val="005879F5"/>
    <w:rsid w:val="00595C2D"/>
    <w:rsid w:val="005B14D5"/>
    <w:rsid w:val="005C0FE0"/>
    <w:rsid w:val="006653F1"/>
    <w:rsid w:val="00683448"/>
    <w:rsid w:val="006A3C18"/>
    <w:rsid w:val="006A7187"/>
    <w:rsid w:val="006E5404"/>
    <w:rsid w:val="00711E25"/>
    <w:rsid w:val="0072328D"/>
    <w:rsid w:val="007324A3"/>
    <w:rsid w:val="007860CB"/>
    <w:rsid w:val="007B7C24"/>
    <w:rsid w:val="007C5750"/>
    <w:rsid w:val="007C75C1"/>
    <w:rsid w:val="00804082"/>
    <w:rsid w:val="00832060"/>
    <w:rsid w:val="00856CCC"/>
    <w:rsid w:val="008570F7"/>
    <w:rsid w:val="00873C01"/>
    <w:rsid w:val="0088094A"/>
    <w:rsid w:val="008C6C50"/>
    <w:rsid w:val="008E7B7A"/>
    <w:rsid w:val="0097374B"/>
    <w:rsid w:val="009A0B05"/>
    <w:rsid w:val="009C5BE6"/>
    <w:rsid w:val="009E4DB8"/>
    <w:rsid w:val="009F09DD"/>
    <w:rsid w:val="00A01053"/>
    <w:rsid w:val="00A0601F"/>
    <w:rsid w:val="00A35C82"/>
    <w:rsid w:val="00A43A6F"/>
    <w:rsid w:val="00A5193F"/>
    <w:rsid w:val="00A66BA1"/>
    <w:rsid w:val="00A73EB7"/>
    <w:rsid w:val="00B00961"/>
    <w:rsid w:val="00B03046"/>
    <w:rsid w:val="00BA6302"/>
    <w:rsid w:val="00BB04C8"/>
    <w:rsid w:val="00BD0B0C"/>
    <w:rsid w:val="00BD7B66"/>
    <w:rsid w:val="00BE562D"/>
    <w:rsid w:val="00C9757A"/>
    <w:rsid w:val="00CB0D48"/>
    <w:rsid w:val="00CC389D"/>
    <w:rsid w:val="00D24574"/>
    <w:rsid w:val="00D6296D"/>
    <w:rsid w:val="00D942CD"/>
    <w:rsid w:val="00DD232A"/>
    <w:rsid w:val="00DE031C"/>
    <w:rsid w:val="00E6011A"/>
    <w:rsid w:val="00E667C1"/>
    <w:rsid w:val="00E92496"/>
    <w:rsid w:val="00E92999"/>
    <w:rsid w:val="00E9710F"/>
    <w:rsid w:val="00EA0434"/>
    <w:rsid w:val="00EE2079"/>
    <w:rsid w:val="00F02259"/>
    <w:rsid w:val="00F40E75"/>
    <w:rsid w:val="00F43949"/>
    <w:rsid w:val="00FB3C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2259"/>
    <w:pPr>
      <w:tabs>
        <w:tab w:val="center" w:pos="4536"/>
        <w:tab w:val="right" w:pos="9072"/>
      </w:tabs>
      <w:spacing w:after="0" w:line="240" w:lineRule="auto"/>
    </w:pPr>
  </w:style>
  <w:style w:type="character" w:customStyle="1" w:styleId="En-tteCar">
    <w:name w:val="En-tête Car"/>
    <w:basedOn w:val="Policepardfaut"/>
    <w:link w:val="En-tte"/>
    <w:uiPriority w:val="99"/>
    <w:locked/>
    <w:rsid w:val="00F02259"/>
    <w:rPr>
      <w:rFonts w:cs="Times New Roman"/>
    </w:rPr>
  </w:style>
  <w:style w:type="paragraph" w:styleId="Pieddepage">
    <w:name w:val="footer"/>
    <w:basedOn w:val="Normal"/>
    <w:link w:val="PieddepageCar"/>
    <w:uiPriority w:val="99"/>
    <w:unhideWhenUsed/>
    <w:rsid w:val="00F02259"/>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02259"/>
    <w:rPr>
      <w:rFonts w:cs="Times New Roman"/>
    </w:rPr>
  </w:style>
  <w:style w:type="paragraph" w:styleId="Textedebulles">
    <w:name w:val="Balloon Text"/>
    <w:basedOn w:val="Normal"/>
    <w:link w:val="TextedebullesCar"/>
    <w:uiPriority w:val="99"/>
    <w:semiHidden/>
    <w:unhideWhenUsed/>
    <w:rsid w:val="005136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3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256451">
      <w:marLeft w:val="0"/>
      <w:marRight w:val="0"/>
      <w:marTop w:val="0"/>
      <w:marBottom w:val="0"/>
      <w:divBdr>
        <w:top w:val="none" w:sz="0" w:space="0" w:color="auto"/>
        <w:left w:val="none" w:sz="0" w:space="0" w:color="auto"/>
        <w:bottom w:val="none" w:sz="0" w:space="0" w:color="auto"/>
        <w:right w:val="none" w:sz="0" w:space="0" w:color="auto"/>
      </w:divBdr>
    </w:div>
    <w:div w:id="1832256452">
      <w:marLeft w:val="0"/>
      <w:marRight w:val="0"/>
      <w:marTop w:val="0"/>
      <w:marBottom w:val="0"/>
      <w:divBdr>
        <w:top w:val="none" w:sz="0" w:space="0" w:color="auto"/>
        <w:left w:val="none" w:sz="0" w:space="0" w:color="auto"/>
        <w:bottom w:val="none" w:sz="0" w:space="0" w:color="auto"/>
        <w:right w:val="none" w:sz="0" w:space="0" w:color="auto"/>
      </w:divBdr>
    </w:div>
    <w:div w:id="1832256453">
      <w:marLeft w:val="0"/>
      <w:marRight w:val="0"/>
      <w:marTop w:val="0"/>
      <w:marBottom w:val="0"/>
      <w:divBdr>
        <w:top w:val="none" w:sz="0" w:space="0" w:color="auto"/>
        <w:left w:val="none" w:sz="0" w:space="0" w:color="auto"/>
        <w:bottom w:val="none" w:sz="0" w:space="0" w:color="auto"/>
        <w:right w:val="none" w:sz="0" w:space="0" w:color="auto"/>
      </w:divBdr>
    </w:div>
    <w:div w:id="1832256454">
      <w:marLeft w:val="0"/>
      <w:marRight w:val="0"/>
      <w:marTop w:val="0"/>
      <w:marBottom w:val="0"/>
      <w:divBdr>
        <w:top w:val="none" w:sz="0" w:space="0" w:color="auto"/>
        <w:left w:val="none" w:sz="0" w:space="0" w:color="auto"/>
        <w:bottom w:val="none" w:sz="0" w:space="0" w:color="auto"/>
        <w:right w:val="none" w:sz="0" w:space="0" w:color="auto"/>
      </w:divBdr>
    </w:div>
    <w:div w:id="1832256455">
      <w:marLeft w:val="0"/>
      <w:marRight w:val="0"/>
      <w:marTop w:val="0"/>
      <w:marBottom w:val="0"/>
      <w:divBdr>
        <w:top w:val="none" w:sz="0" w:space="0" w:color="auto"/>
        <w:left w:val="none" w:sz="0" w:space="0" w:color="auto"/>
        <w:bottom w:val="none" w:sz="0" w:space="0" w:color="auto"/>
        <w:right w:val="none" w:sz="0" w:space="0" w:color="auto"/>
      </w:divBdr>
    </w:div>
    <w:div w:id="1832256456">
      <w:marLeft w:val="0"/>
      <w:marRight w:val="0"/>
      <w:marTop w:val="0"/>
      <w:marBottom w:val="0"/>
      <w:divBdr>
        <w:top w:val="none" w:sz="0" w:space="0" w:color="auto"/>
        <w:left w:val="none" w:sz="0" w:space="0" w:color="auto"/>
        <w:bottom w:val="none" w:sz="0" w:space="0" w:color="auto"/>
        <w:right w:val="none" w:sz="0" w:space="0" w:color="auto"/>
      </w:divBdr>
    </w:div>
    <w:div w:id="1832256457">
      <w:marLeft w:val="0"/>
      <w:marRight w:val="0"/>
      <w:marTop w:val="0"/>
      <w:marBottom w:val="0"/>
      <w:divBdr>
        <w:top w:val="none" w:sz="0" w:space="0" w:color="auto"/>
        <w:left w:val="none" w:sz="0" w:space="0" w:color="auto"/>
        <w:bottom w:val="none" w:sz="0" w:space="0" w:color="auto"/>
        <w:right w:val="none" w:sz="0" w:space="0" w:color="auto"/>
      </w:divBdr>
    </w:div>
    <w:div w:id="1832256458">
      <w:marLeft w:val="0"/>
      <w:marRight w:val="0"/>
      <w:marTop w:val="0"/>
      <w:marBottom w:val="0"/>
      <w:divBdr>
        <w:top w:val="none" w:sz="0" w:space="0" w:color="auto"/>
        <w:left w:val="none" w:sz="0" w:space="0" w:color="auto"/>
        <w:bottom w:val="none" w:sz="0" w:space="0" w:color="auto"/>
        <w:right w:val="none" w:sz="0" w:space="0" w:color="auto"/>
      </w:divBdr>
    </w:div>
    <w:div w:id="1832256459">
      <w:marLeft w:val="0"/>
      <w:marRight w:val="0"/>
      <w:marTop w:val="0"/>
      <w:marBottom w:val="0"/>
      <w:divBdr>
        <w:top w:val="none" w:sz="0" w:space="0" w:color="auto"/>
        <w:left w:val="none" w:sz="0" w:space="0" w:color="auto"/>
        <w:bottom w:val="none" w:sz="0" w:space="0" w:color="auto"/>
        <w:right w:val="none" w:sz="0" w:space="0" w:color="auto"/>
      </w:divBdr>
    </w:div>
    <w:div w:id="1832256460">
      <w:marLeft w:val="0"/>
      <w:marRight w:val="0"/>
      <w:marTop w:val="0"/>
      <w:marBottom w:val="0"/>
      <w:divBdr>
        <w:top w:val="none" w:sz="0" w:space="0" w:color="auto"/>
        <w:left w:val="none" w:sz="0" w:space="0" w:color="auto"/>
        <w:bottom w:val="none" w:sz="0" w:space="0" w:color="auto"/>
        <w:right w:val="none" w:sz="0" w:space="0" w:color="auto"/>
      </w:divBdr>
    </w:div>
    <w:div w:id="1832256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8177-6413-461A-A22F-A21FE1C1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7665</Characters>
  <Application>Microsoft Office Word</Application>
  <DocSecurity>0</DocSecurity>
  <Lines>63</Lines>
  <Paragraphs>17</Paragraphs>
  <ScaleCrop>false</ScaleCrop>
  <Company>HP Inc.</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AHAMADA HOUNAIFI</dc:creator>
  <dc:description>Created by the HTML-to-RTF Pro DLL .Net 5.1.10.31</dc:description>
  <cp:lastModifiedBy>bruno</cp:lastModifiedBy>
  <cp:revision>2</cp:revision>
  <cp:lastPrinted>2020-08-07T15:31:00Z</cp:lastPrinted>
  <dcterms:created xsi:type="dcterms:W3CDTF">2022-11-08T13:49:00Z</dcterms:created>
  <dcterms:modified xsi:type="dcterms:W3CDTF">2022-11-08T13:49:00Z</dcterms:modified>
</cp:coreProperties>
</file>