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51" w:rsidRPr="00475751" w:rsidRDefault="00475751" w:rsidP="00475751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475751">
        <w:rPr>
          <w:rFonts w:ascii="Times New Roman" w:hAnsi="Times New Roman" w:cs="Times New Roman"/>
          <w:color w:val="0864A5"/>
          <w:sz w:val="24"/>
          <w:szCs w:val="24"/>
        </w:rPr>
        <w:br/>
      </w:r>
      <w:r w:rsidRPr="00475751">
        <w:rPr>
          <w:rStyle w:val="fontstyle21"/>
          <w:rFonts w:ascii="Times New Roman" w:hAnsi="Times New Roman" w:cs="Times New Roman"/>
          <w:sz w:val="24"/>
          <w:szCs w:val="24"/>
        </w:rPr>
        <w:t>Commune d'</w:t>
      </w:r>
      <w:proofErr w:type="spellStart"/>
      <w:r w:rsidRPr="00475751">
        <w:rPr>
          <w:rStyle w:val="fontstyle21"/>
          <w:rFonts w:ascii="Times New Roman" w:hAnsi="Times New Roman" w:cs="Times New Roman"/>
          <w:sz w:val="24"/>
          <w:szCs w:val="24"/>
        </w:rPr>
        <w:t>Acoua</w:t>
      </w:r>
      <w:proofErr w:type="spellEnd"/>
      <w:r w:rsidRPr="00475751">
        <w:rPr>
          <w:rStyle w:val="fontstyle21"/>
          <w:rFonts w:ascii="Times New Roman" w:hAnsi="Times New Roman" w:cs="Times New Roman"/>
          <w:sz w:val="24"/>
          <w:szCs w:val="24"/>
        </w:rPr>
        <w:t xml:space="preserve"> (976)</w:t>
      </w:r>
      <w:r w:rsidRPr="004757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10 place de la Mairie</w:t>
      </w:r>
      <w:r w:rsidRPr="00475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97630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Acoua</w:t>
      </w:r>
      <w:proofErr w:type="spellEnd"/>
      <w:r w:rsidRPr="00475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5751">
        <w:rPr>
          <w:rStyle w:val="fontstyle21"/>
          <w:rFonts w:ascii="Times New Roman" w:hAnsi="Times New Roman" w:cs="Times New Roman"/>
          <w:sz w:val="24"/>
          <w:szCs w:val="24"/>
        </w:rPr>
        <w:t>AVIS D'APPEL PUBLIC À LA</w:t>
      </w:r>
      <w:r w:rsidRPr="004757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75751">
        <w:rPr>
          <w:rStyle w:val="fontstyle21"/>
          <w:rFonts w:ascii="Times New Roman" w:hAnsi="Times New Roman" w:cs="Times New Roman"/>
          <w:sz w:val="24"/>
          <w:szCs w:val="24"/>
        </w:rPr>
        <w:t>CONCURRENCE</w:t>
      </w:r>
      <w:r w:rsidRPr="004757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75751">
        <w:rPr>
          <w:rStyle w:val="fontstyle21"/>
          <w:rFonts w:ascii="Times New Roman" w:hAnsi="Times New Roman" w:cs="Times New Roman"/>
          <w:sz w:val="24"/>
          <w:szCs w:val="24"/>
        </w:rPr>
        <w:t>TRAVAUX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  <w:color w:val="9A1E4A"/>
        </w:rPr>
        <w:t>Pouvoir adjudicateur / Entité adjudicatrice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Nom et adresse officiels de l'organisme acheteur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Commune d'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Acoua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 xml:space="preserve"> (976),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Marib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 xml:space="preserve"> HANAFFI, 10 Rue Jules Ferry, 97630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Acoua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>, FRANCE. Tel : +33 269621881. E-mail :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mairie.acoua@orange.fr.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Adresse(s) internet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Site du profil d'acheteur : https://www.marches-securises.fr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Principale(s) Activité(s) du pouvoir adjudicateur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Services généraux des administrations publiques.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Description du marché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Objet du marché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Relance du Lot 3-A: Menuiseries Bois, Menuiseries Alu RÉNOVATION DE L'ÉCOLE MATERNELLE DE M'TSANGADOUA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Classification CPV (vocabulaire commun pour les marchés publics</w:t>
      </w:r>
      <w:proofErr w:type="gramStart"/>
      <w:r w:rsidRPr="00475751">
        <w:rPr>
          <w:rStyle w:val="fontstyle21"/>
          <w:rFonts w:ascii="Times New Roman" w:hAnsi="Times New Roman" w:cs="Times New Roman"/>
        </w:rPr>
        <w:t>)</w:t>
      </w:r>
      <w:proofErr w:type="gramEnd"/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45421000, 45112500, 45421140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Lieu d'exécution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École Maternelle de M'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tsangadoua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 xml:space="preserve"> 97630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Acoua</w:t>
      </w:r>
      <w:proofErr w:type="spellEnd"/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Caractéristiques principales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Aucune variante n'est acceptée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Type de marché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Travaux : Exécution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Type de procédure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Procédure adaptée accélérée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Justification du choix de la procédure accélérée </w:t>
      </w:r>
      <w:proofErr w:type="gramStart"/>
      <w:r w:rsidRPr="00475751">
        <w:rPr>
          <w:rStyle w:val="fontstyle21"/>
          <w:rFonts w:ascii="Times New Roman" w:hAnsi="Times New Roman" w:cs="Times New Roman"/>
        </w:rPr>
        <w:t>:</w:t>
      </w:r>
      <w:proofErr w:type="gramEnd"/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Procédure adaptée selon es articles L.2123-1 et R.2123-4 du code de la commande publique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La procédure d'achat du présent avis est couverte par l'accord sur les marchés publics : </w:t>
      </w:r>
      <w:r w:rsidRPr="00475751">
        <w:rPr>
          <w:rStyle w:val="fontstyle01"/>
          <w:rFonts w:ascii="Times New Roman" w:hAnsi="Times New Roman" w:cs="Times New Roman"/>
          <w:color w:val="000000"/>
        </w:rPr>
        <w:t>Oui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Des variantes seront prises en considération : </w:t>
      </w:r>
      <w:r w:rsidRPr="00475751">
        <w:rPr>
          <w:rStyle w:val="fontstyle01"/>
          <w:rFonts w:ascii="Times New Roman" w:hAnsi="Times New Roman" w:cs="Times New Roman"/>
          <w:color w:val="000000"/>
        </w:rPr>
        <w:t>Non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L'avis implique un marché public.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Division en lots : </w:t>
      </w:r>
      <w:r w:rsidRPr="00475751">
        <w:rPr>
          <w:rStyle w:val="fontstyle01"/>
          <w:rFonts w:ascii="Times New Roman" w:hAnsi="Times New Roman" w:cs="Times New Roman"/>
          <w:color w:val="000000"/>
        </w:rPr>
        <w:t>Oui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Il convient de soumettre des offres pour : </w:t>
      </w:r>
      <w:r w:rsidRPr="00475751">
        <w:rPr>
          <w:rStyle w:val="fontstyle01"/>
          <w:rFonts w:ascii="Times New Roman" w:hAnsi="Times New Roman" w:cs="Times New Roman"/>
          <w:color w:val="000000"/>
        </w:rPr>
        <w:t xml:space="preserve">un seul </w:t>
      </w:r>
      <w:proofErr w:type="gramStart"/>
      <w:r w:rsidRPr="00475751">
        <w:rPr>
          <w:rStyle w:val="fontstyle01"/>
          <w:rFonts w:ascii="Times New Roman" w:hAnsi="Times New Roman" w:cs="Times New Roman"/>
          <w:color w:val="000000"/>
        </w:rPr>
        <w:t>lot .</w:t>
      </w:r>
      <w:proofErr w:type="gramEnd"/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Date prévisionnelle de commencement des travaux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19 décembre 2022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Durée du marché ou délai d'exécution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Durée en mois : 2 (à compter de la date de notification du marché).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Conditions de délai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Date limite de réception des candidatures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Lundi 28 novembre 2022 - 12:00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Date limite de réception des offres ou des demandes de participation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Lundi 28 novembre 2022 - 12:00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Délai minimum pendant lequel le soumissionnaire est tenu de maintenir son offre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Durée en jours : </w:t>
      </w:r>
      <w:r w:rsidRPr="00475751">
        <w:rPr>
          <w:rStyle w:val="fontstyle01"/>
          <w:rFonts w:ascii="Times New Roman" w:hAnsi="Times New Roman" w:cs="Times New Roman"/>
          <w:color w:val="000000"/>
        </w:rPr>
        <w:t>120 (à compter de la date limite de réception des offres).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Conditions relatives au marché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Cautionnement et garanties exigés </w:t>
      </w:r>
      <w:proofErr w:type="gramStart"/>
      <w:r w:rsidRPr="00475751">
        <w:rPr>
          <w:rStyle w:val="fontstyle21"/>
          <w:rFonts w:ascii="Times New Roman" w:hAnsi="Times New Roman" w:cs="Times New Roman"/>
        </w:rPr>
        <w:t>:</w:t>
      </w:r>
      <w:proofErr w:type="gramEnd"/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Voir le CCAP et la RC</w:t>
      </w:r>
      <w:r w:rsidRPr="00475751">
        <w:rPr>
          <w:rFonts w:ascii="Times New Roman" w:hAnsi="Times New Roman" w:cs="Times New Roman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Modalités essentielles de financement et de paiement et/ou références aux textes qui les réglementent :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Voir CCAP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Forme juridique que devra revêtir le groupement d'opérateurs économiques attributaire du marché :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Voir la RC et le CCAP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Langues pouvant être utilisées dans l'offre ou la candidature autre que la langue française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lastRenderedPageBreak/>
        <w:t>Français.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Unité monétaire utilisée : Euro.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L'exécution du marché est soumise à d'autres conditions particulières : </w:t>
      </w:r>
      <w:r w:rsidRPr="00475751">
        <w:rPr>
          <w:rStyle w:val="fontstyle01"/>
          <w:rFonts w:ascii="Times New Roman" w:hAnsi="Times New Roman" w:cs="Times New Roman"/>
          <w:color w:val="000000"/>
        </w:rPr>
        <w:t>Non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Conditions de participation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Critères de sélection des candidatures </w:t>
      </w:r>
      <w:proofErr w:type="gramStart"/>
      <w:r w:rsidRPr="00475751">
        <w:rPr>
          <w:rStyle w:val="fontstyle21"/>
          <w:rFonts w:ascii="Times New Roman" w:hAnsi="Times New Roman" w:cs="Times New Roman"/>
        </w:rPr>
        <w:t>:</w:t>
      </w:r>
      <w:proofErr w:type="gramEnd"/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Voir la RC et le CCAP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Situation juridique - références requises :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Voir la RC et le CCAP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Capacité économique et financière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Renseignements et formalités nécessaires pour évaluer si ces exigences sont remplies :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Voir la RC et le CCAP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Capacité technique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Renseignements et formalités nécessaires pour évaluer si ces exigences sont remplies :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Voir la RC, et le CCTPCCAP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Justifications à produire quant aux qualités et capacités du candidat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  <w:color w:val="0864A5"/>
        </w:rPr>
        <w:t>Documents à produire obligatoirement par le candidat, à l'appui de sa candidature :</w:t>
      </w:r>
      <w:r w:rsidRPr="00475751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- Copie du ou des jugements prononcés, si le candidat est en redressement judiciaire (si ces documents ne sont pas déjà demandés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dans le cadre du formulaire DC2, ci-après).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- Déclaration sur l'honneur du candidat justifiant qu'il n'entre dans aucun des cas d'interdiction de soumissionner obligatoires prévus aux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articles 45 et 48 de l'ordonnance n° 2015-899 du 23 juillet 2015 ou, pour les marchés publics de défense ou de sécurité, qu'il n'entre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dans aucun des cas d'interdiction de soumissionner obligatoires prévus aux articles 45 ,46 et 48 de l'ordonnance n° 2015-899 du 23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juillet 2015 et qu'il est en règle au regard des articles L. 5212-1 à L. 5212-11 du code du travail concernant l'emploi des travailleurs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handicapés (si cette déclaration n'est pas déjà demandée dans le cadre du formulaire DC1, ci-après)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  <w:color w:val="0864A5"/>
        </w:rPr>
        <w:t>Documents à produire à l'appui des candidatures par le candidat, au choix de l'acheteur public :</w:t>
      </w:r>
      <w:r w:rsidRPr="00475751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- Certificats de qualifications professionnelles (documents à fournir en annexe du formulaire DC2, si celui-ci est demandé par l'acheteur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public). La preuve de la capacité du candidat peut être apportée par tout moyen, notamment par des certificats d'identité professionnelle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ou des références de travaux attestant de la compétence de l'opérateur économique à réaliser la prestation pour laquelle il se porte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candidat.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 xml:space="preserve">- Formulaire DC1, Lettre de candidature - Habilitation du mandataire par ses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co-</w:t>
      </w:r>
      <w:proofErr w:type="gramStart"/>
      <w:r w:rsidRPr="00475751">
        <w:rPr>
          <w:rStyle w:val="fontstyle01"/>
          <w:rFonts w:ascii="Times New Roman" w:hAnsi="Times New Roman" w:cs="Times New Roman"/>
          <w:color w:val="000000"/>
        </w:rPr>
        <w:t>traitants</w:t>
      </w:r>
      <w:proofErr w:type="spellEnd"/>
      <w:proofErr w:type="gramEnd"/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(disponible à l'adresse suivante : http://www.economie.gouv.fr/daj/formulaires-declaration-candidat-dc1-dc2-dc3-dc4).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 xml:space="preserve">- Formulaire DC2, Déclaration du candidat individuel ou du membre du </w:t>
      </w:r>
      <w:proofErr w:type="gramStart"/>
      <w:r w:rsidRPr="00475751">
        <w:rPr>
          <w:rStyle w:val="fontstyle01"/>
          <w:rFonts w:ascii="Times New Roman" w:hAnsi="Times New Roman" w:cs="Times New Roman"/>
          <w:color w:val="000000"/>
        </w:rPr>
        <w:t>groupement</w:t>
      </w:r>
      <w:proofErr w:type="gramEnd"/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(disponible à l'adresse suivante : http://www.economie.gouv.fr/daj/formulaires-declaration-candidat-dc1-dc2-dc3-dc4).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Critères d'attribution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Offre économiquement la plus avantageuse appréciée en fonction des critères énoncés dans le cahier des charges (règlement de la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consultation, lettre d'invitation ou document descriptif).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Une enchère électronique sera effectuée : </w:t>
      </w:r>
      <w:r w:rsidRPr="00475751">
        <w:rPr>
          <w:rStyle w:val="fontstyle01"/>
          <w:rFonts w:ascii="Times New Roman" w:hAnsi="Times New Roman" w:cs="Times New Roman"/>
          <w:color w:val="000000"/>
        </w:rPr>
        <w:t>Non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Autres renseignements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Numéro de référence attribué au dossier par le pouvoir adjudicateur / l'entité adjudicatrice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Procédures de recours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Instance chargée des procédures de recours</w:t>
      </w:r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Tribunal administratif de Mayotte Les Hauts du Jardin du Collège 97600 Mamoudzou FRANCE. Tél. +33 269611856. E-mail :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greffe.ta-mayotte@juradm.fr. URL : http://mayotte.tribunal-administratif.fr/.</w:t>
      </w:r>
    </w:p>
    <w:p w:rsidR="00475751" w:rsidRDefault="00475751" w:rsidP="00475751">
      <w:pPr>
        <w:rPr>
          <w:rStyle w:val="fontstyle21"/>
          <w:rFonts w:ascii="Times New Roman" w:hAnsi="Times New Roman" w:cs="Times New Roman"/>
          <w:color w:val="9A1E4A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Adresses complémentaires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Adresse auprès de laquelle des renseignements d'ordre administratif peuvent être obtenus </w:t>
      </w:r>
      <w:proofErr w:type="gramStart"/>
      <w:r w:rsidRPr="00475751">
        <w:rPr>
          <w:rStyle w:val="fontstyle21"/>
          <w:rFonts w:ascii="Times New Roman" w:hAnsi="Times New Roman" w:cs="Times New Roman"/>
        </w:rPr>
        <w:t>:</w:t>
      </w:r>
      <w:proofErr w:type="gramEnd"/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Mairie d'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Acoua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 xml:space="preserve"> 10 rue Jules Ferry , à l'attention de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Anassi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 xml:space="preserve"> HAMIDOU , 97630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Acoua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>, FRANCE. Tél. +33 269621881. E-mail :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anassi.hamidou@mairiedeacoua.fr.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 xml:space="preserve">Adresse auprès de laquelle des renseignements d'ordre technique peuvent être obtenus </w:t>
      </w:r>
      <w:proofErr w:type="gramStart"/>
      <w:r w:rsidRPr="00475751">
        <w:rPr>
          <w:rStyle w:val="fontstyle21"/>
          <w:rFonts w:ascii="Times New Roman" w:hAnsi="Times New Roman" w:cs="Times New Roman"/>
        </w:rPr>
        <w:t>:</w:t>
      </w:r>
      <w:proofErr w:type="gramEnd"/>
      <w:r w:rsidRPr="004757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75751">
        <w:rPr>
          <w:rStyle w:val="fontstyle01"/>
          <w:rFonts w:ascii="Times New Roman" w:hAnsi="Times New Roman" w:cs="Times New Roman"/>
          <w:color w:val="000000"/>
        </w:rPr>
        <w:t>Mairie d'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Acoua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 xml:space="preserve"> 10 rue Jules Ferry , à l'attention de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Anassi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 xml:space="preserve"> HAMDOU , 97630 </w:t>
      </w:r>
      <w:proofErr w:type="spellStart"/>
      <w:r w:rsidRPr="00475751">
        <w:rPr>
          <w:rStyle w:val="fontstyle01"/>
          <w:rFonts w:ascii="Times New Roman" w:hAnsi="Times New Roman" w:cs="Times New Roman"/>
          <w:color w:val="000000"/>
        </w:rPr>
        <w:t>Acoua</w:t>
      </w:r>
      <w:proofErr w:type="spellEnd"/>
      <w:r w:rsidRPr="00475751">
        <w:rPr>
          <w:rStyle w:val="fontstyle01"/>
          <w:rFonts w:ascii="Times New Roman" w:hAnsi="Times New Roman" w:cs="Times New Roman"/>
          <w:color w:val="000000"/>
        </w:rPr>
        <w:t>, FRANCE. Tél. +33 269621881. E-mail :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75751">
        <w:rPr>
          <w:rStyle w:val="fontstyle01"/>
          <w:rFonts w:ascii="Times New Roman" w:hAnsi="Times New Roman" w:cs="Times New Roman"/>
          <w:color w:val="000000"/>
        </w:rPr>
        <w:t>anassi.hamidou@mairiedeacoua.fr.</w:t>
      </w:r>
      <w:r w:rsidRPr="00475751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45783" w:rsidRPr="00475751" w:rsidRDefault="00475751" w:rsidP="00475751">
      <w:pPr>
        <w:rPr>
          <w:rFonts w:ascii="Times New Roman" w:hAnsi="Times New Roman" w:cs="Times New Roman"/>
          <w:sz w:val="18"/>
          <w:szCs w:val="18"/>
        </w:rPr>
      </w:pPr>
      <w:r w:rsidRPr="00475751">
        <w:rPr>
          <w:rStyle w:val="fontstyle21"/>
          <w:rFonts w:ascii="Times New Roman" w:hAnsi="Times New Roman" w:cs="Times New Roman"/>
          <w:color w:val="9A1E4A"/>
        </w:rPr>
        <w:t>Informations sur les lots</w:t>
      </w:r>
      <w:r w:rsidRPr="00475751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75751">
        <w:rPr>
          <w:rStyle w:val="fontstyle21"/>
          <w:rFonts w:ascii="Times New Roman" w:hAnsi="Times New Roman" w:cs="Times New Roman"/>
        </w:rPr>
        <w:t>Aucun lot saisi</w:t>
      </w:r>
    </w:p>
    <w:sectPr w:rsidR="00E45783" w:rsidRPr="00475751" w:rsidSect="002C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8BA"/>
    <w:multiLevelType w:val="hybridMultilevel"/>
    <w:tmpl w:val="38963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EA0"/>
    <w:rsid w:val="00080C45"/>
    <w:rsid w:val="000D1F16"/>
    <w:rsid w:val="001220BB"/>
    <w:rsid w:val="00145CF7"/>
    <w:rsid w:val="001C0D21"/>
    <w:rsid w:val="001C0EA0"/>
    <w:rsid w:val="002117FF"/>
    <w:rsid w:val="002A43C0"/>
    <w:rsid w:val="002B529D"/>
    <w:rsid w:val="002C576F"/>
    <w:rsid w:val="00326303"/>
    <w:rsid w:val="003945A5"/>
    <w:rsid w:val="003E142B"/>
    <w:rsid w:val="004621B6"/>
    <w:rsid w:val="00464B02"/>
    <w:rsid w:val="00475751"/>
    <w:rsid w:val="004B1220"/>
    <w:rsid w:val="004D2FE8"/>
    <w:rsid w:val="005367DF"/>
    <w:rsid w:val="0061489E"/>
    <w:rsid w:val="00654661"/>
    <w:rsid w:val="00656502"/>
    <w:rsid w:val="006B227A"/>
    <w:rsid w:val="007C74C6"/>
    <w:rsid w:val="00816E6B"/>
    <w:rsid w:val="00851821"/>
    <w:rsid w:val="00947801"/>
    <w:rsid w:val="00A56510"/>
    <w:rsid w:val="00AB7252"/>
    <w:rsid w:val="00AE156F"/>
    <w:rsid w:val="00AF2873"/>
    <w:rsid w:val="00B14514"/>
    <w:rsid w:val="00BF4761"/>
    <w:rsid w:val="00CC6171"/>
    <w:rsid w:val="00D51892"/>
    <w:rsid w:val="00DD5A47"/>
    <w:rsid w:val="00E20C8B"/>
    <w:rsid w:val="00E45783"/>
    <w:rsid w:val="00F1016F"/>
    <w:rsid w:val="00F16194"/>
    <w:rsid w:val="00F3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E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0EA0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7C74C6"/>
    <w:pPr>
      <w:spacing w:after="0" w:line="240" w:lineRule="auto"/>
      <w:ind w:firstLine="720"/>
      <w:jc w:val="both"/>
    </w:pPr>
    <w:rPr>
      <w:rFonts w:ascii="Arial" w:eastAsia="Times New Roman" w:hAnsi="Arial" w:cs="Arial"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C74C6"/>
    <w:rPr>
      <w:rFonts w:ascii="Arial" w:eastAsia="Times New Roman" w:hAnsi="Arial" w:cs="Arial"/>
      <w:bCs/>
      <w:szCs w:val="24"/>
      <w:lang w:eastAsia="fr-FR"/>
    </w:rPr>
  </w:style>
  <w:style w:type="paragraph" w:customStyle="1" w:styleId="Standard">
    <w:name w:val="Standard"/>
    <w:rsid w:val="00B145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Aucun">
    <w:name w:val="Aucun"/>
    <w:rsid w:val="00F16194"/>
  </w:style>
  <w:style w:type="paragraph" w:customStyle="1" w:styleId="ParagrapheIndent2">
    <w:name w:val="ParagrapheIndent2"/>
    <w:next w:val="Normal"/>
    <w:qFormat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1B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AB7252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AB7252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Dassami SOUFFOU-ABASSI</dc:creator>
  <cp:lastModifiedBy>bruno</cp:lastModifiedBy>
  <cp:revision>2</cp:revision>
  <dcterms:created xsi:type="dcterms:W3CDTF">2022-11-16T12:26:00Z</dcterms:created>
  <dcterms:modified xsi:type="dcterms:W3CDTF">2022-11-16T12:26:00Z</dcterms:modified>
</cp:coreProperties>
</file>