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6" w:rsidRPr="00BB4BB6" w:rsidRDefault="00BB4BB6" w:rsidP="00BB4B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Mairie de </w:t>
      </w:r>
      <w:proofErr w:type="spellStart"/>
      <w:r w:rsidRPr="00BB4BB6">
        <w:rPr>
          <w:rFonts w:ascii="Times New Roman" w:hAnsi="Times New Roman" w:cs="Times New Roman"/>
          <w:b/>
          <w:color w:val="000000"/>
          <w:sz w:val="24"/>
          <w:szCs w:val="24"/>
        </w:rPr>
        <w:t>Bandraboua</w:t>
      </w:r>
      <w:proofErr w:type="spellEnd"/>
    </w:p>
    <w:p w:rsidR="00BB4BB6" w:rsidRPr="00BB4BB6" w:rsidRDefault="00BB4BB6" w:rsidP="00BB4B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J02 Avis de Marché appel d'offre standard Dir24</w:t>
      </w:r>
    </w:p>
    <w:p w:rsidR="00313E49" w:rsidRPr="00BB4BB6" w:rsidRDefault="00BB4BB6" w:rsidP="00BB4BB6">
      <w:pPr>
        <w:rPr>
          <w:rFonts w:ascii="Times New Roman" w:hAnsi="Times New Roman" w:cs="Times New Roman"/>
          <w:sz w:val="18"/>
          <w:szCs w:val="18"/>
        </w:rPr>
      </w:pP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Département(s) de publication : 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976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I. II. III. IV. VI.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AVIS DE MARCHÉ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Directive 2014/24/UE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Le présent avis constitue un appel à la concurrence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SECTION I : POUVOIR ADJUDICATEUR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I.1) NOM ET ADRESSES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Mairie de </w:t>
      </w:r>
      <w:proofErr w:type="spellStart"/>
      <w:r w:rsidRPr="00BB4BB6">
        <w:rPr>
          <w:rFonts w:ascii="Times New Roman" w:hAnsi="Times New Roman" w:cs="Times New Roman"/>
          <w:color w:val="000000"/>
          <w:sz w:val="18"/>
          <w:szCs w:val="18"/>
        </w:rPr>
        <w:t>Bandraboua</w:t>
      </w:r>
      <w:proofErr w:type="spellEnd"/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, 97630 , 97630, </w:t>
      </w:r>
      <w:proofErr w:type="spellStart"/>
      <w:r w:rsidRPr="00BB4BB6">
        <w:rPr>
          <w:rFonts w:ascii="Times New Roman" w:hAnsi="Times New Roman" w:cs="Times New Roman"/>
          <w:color w:val="000000"/>
          <w:sz w:val="18"/>
          <w:szCs w:val="18"/>
        </w:rPr>
        <w:t>Mtzamboro</w:t>
      </w:r>
      <w:proofErr w:type="spellEnd"/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, Point(s) de contact : M. OILI </w:t>
      </w:r>
      <w:proofErr w:type="spellStart"/>
      <w:r w:rsidRPr="00BB4BB6">
        <w:rPr>
          <w:rFonts w:ascii="Times New Roman" w:hAnsi="Times New Roman" w:cs="Times New Roman"/>
          <w:color w:val="000000"/>
          <w:sz w:val="18"/>
          <w:szCs w:val="18"/>
        </w:rPr>
        <w:t>Taanlabi</w:t>
      </w:r>
      <w:proofErr w:type="spellEnd"/>
      <w:r w:rsidRPr="00BB4BB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Téléphone : (+262) 6 39 25 28 80, Courriel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>taanlabi.oili@mairie-bandraboua.fr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, Code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NUTS : FRY5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Adresse(s) internet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Adresse principale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>http://mairie-bandraboua.fr/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Adresse du profil acheteur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>https://www.e-marchespublics.com/appel-offre/897424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I.2) PROCÉDURE CONJOINTE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I.3) COMMUNICATION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Les documents du marché sont disponibles gratuitement en accès direct non restreint et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complet, à l'adresse suivante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>https://www.e-marchespublics.com/appel-offre/897424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Adresse à laquelle des informations complémentaires peuvent être obtenues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au(x) point(s) de contact susmentionné(s)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autre adresse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Les offres ou les demandes de participation doivent être envoyées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 xml:space="preserve">par voie électronique à l'adresse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>https://www.e-marchespublics.com/appel-offre/897424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à l'adresse suivante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I.4) TYPE DE POUVOIR ADJUDICATEUR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Autorité régionale ou locale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I.5) ACTIVITÉ PRINCIPALE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Services généraux des administrations publiques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SECTION II : OBJET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II.1) ÉTENDUE DU MARCHÉ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II.1.1) Intitulé :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Fourniture et livraison de mobiliers scolaire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Numéro de référence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II.1.2) Code CPV principal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Descripteur principal : 39160000.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II.1.3) Type de marché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Fournitures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II.1.4) Description succincte :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Fourniture et livraison de mobiliers scolaire dans les écoles</w:t>
      </w:r>
      <w:r w:rsidRPr="00BB4BB6">
        <w:rPr>
          <w:rFonts w:ascii="Times New Roman" w:hAnsi="Times New Roman" w:cs="Times New Roman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maternelles, élémentaires et primaires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II.1.5) Valeur totale estimée </w:t>
      </w:r>
      <w:proofErr w:type="gramStart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Valeur hors TVA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II.1.6) Information sur les lots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Ce marché est divisé en lots : Oui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Il est possible de soumettre des offres pour tous les lots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II.2) DESCRIPTION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II.2.1) Intitulé :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Fourniture et livraison de mobiliers scolaires dans les écoles maternelles.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Lot nº : 1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II.2.2) Code(s) CPV additionnel(s)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Code CPV principal : 39160000.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II.2.3) Lieu d'exécution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Code NUTS : FRY50|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Lieu principal d'exécution : Ecoles maternelles de la commune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II.2.4) Description des prestations :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Fourniture et livraison de mobiliers scolaires dans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les écoles maternelles de la commune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II.2.5) Critères d'attribution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lastRenderedPageBreak/>
        <w:t>Le prix n'est pas le seul critère d'attribution et tous les critères sont énoncés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uniquement dans les documents du marché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II.2.6) Valeur estimée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Valeur hors TVA : EUR.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II.2.7) Durée du marché, de l'accord-cadre ou du système d'acquisition dynamique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Durée en jour :90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Ce marché peut faire l'objet d'une reconduction : non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Description des modalités ou du calendrier des reconductions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II.2.9) Informations sur les limites concernant le nombre de candidats invités à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participer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Critères objectifs de limitation du nombre de candidats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II.2.10) Variantes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Des variantes seront prises en considération : non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II.2.11) Information sur les options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Options : non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II.2.12) Informations sur les catalogues électroniques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II.2.13) Information sur les fonds de l'Union européenne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Le contrat s'inscrit dans un projet/programme financé par des fonds de l'Union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européenne : non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II.2.14) Informations complémentaires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SECTION III : RENSEIGNEMENTS D'ORDRE JURIDIQUE, ÉCONOMIQUE, FINANCIER ET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  <w:t>TECHNIQUE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III.1) CONDITIONS DE PARTICIPATION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III.1.1) Habilitation à exercer l'activité professionnelle, y compris exigences relatives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à l'inscription au registre du commerce ou de la profession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Liste et description succincte des conditions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III.1.2) Capacité économique et financière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Liste et description succincte des critères de sélection :</w:t>
      </w:r>
      <w:r w:rsidRPr="00BB4BB6">
        <w:rPr>
          <w:rFonts w:ascii="Times New Roman" w:hAnsi="Times New Roman" w:cs="Times New Roman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Niveau(x) spécifique(s) minimal/minimaux exigé(s)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III.1.3) Capacité technique et professionnelle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Liste et description succincte des critères de sélection, indication des informations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et documents requis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Niveau(x) spécifique(s) minimal/minimaux exigé(s)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III.1.5) Informations sur les marchés réservés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III.2) CONDITIONS LIÉES AU MARCHÉ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III.2.1) Information relative à la profession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III.2.2) Conditions particulières d'exécution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III.2.3) Informations sur les membres du personnel responsables de l'exécution du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marché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III.2.4) Marché éligible au MPS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La transmission et la vérification des documents de candidatures peut être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effectuée par le dispositif Marché public simplifié sur présentation du numéro de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SIRET : non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SECTION IV : PROCÉDURE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IV.1) DESCRIPTION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IV.1.1) Type de procédure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procédure ouverte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IV.1.3) Informations sur l'accord-cadre ou le système d'acquisition dynamique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Dans le cas d'accords-cadres - justification d'une durée dépassant quatre ans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IV.1.4) Informations sur la réduction du nombre de solutions ou d'offres durant la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négociation ou le dialogue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IV.1.5) Information sur la négociation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IV.1.6) Enchère électronique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IV.1.8) Information concernant l'accord sur les marchés publics (AMP)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Le marché est couvert par l'accord sur les marchés publics :oui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IV.2) RENSEIGNEMENTS D'ORDRE ADMINISTRATIF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IV.2.1) Publication antérieure relative à la présente procédure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Numéro de l'avis au JO série 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IV.2.2) Date limite de réception des offres ou des demandes de participation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29 Novembre 2022 à 12:00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IV.2.3) Date d'envoi estimée des invitations à </w:t>
      </w:r>
      <w:proofErr w:type="spellStart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soumissionnner</w:t>
      </w:r>
      <w:proofErr w:type="spellEnd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ou à participer aux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candidats sélectionnés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Date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IV.2.4) Langue(s) pouvant être utilisée(s) dans l'offre ou la demande de participation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français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IV.2.6) Délai minimal pendant lequel le soumissionnaire est tenu de maintenir son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offre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L'offre doit être valable jusqu'au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ou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Durée en mois : 3 (A compter de la date limite de réception des offres)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IV.2.7) Modalité d'ouverture des offres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Date : 29 Novembre 2022 à 16:00</w:t>
      </w:r>
      <w:r w:rsidRPr="00BB4BB6">
        <w:rPr>
          <w:rFonts w:ascii="Times New Roman" w:hAnsi="Times New Roman" w:cs="Times New Roman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Informations sur les personnes autorisées et les modalités d'ouverture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t>SECTION VI : RENSEIGNEMENTS COMPLÉMENTAIRES</w:t>
      </w:r>
      <w:r w:rsidRPr="00BB4BB6">
        <w:rPr>
          <w:rFonts w:ascii="Times New Roman" w:hAnsi="Times New Roman" w:cs="Times New Roman"/>
          <w:b/>
          <w:bCs/>
          <w:color w:val="0099CC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VI.1) RENOUVELLEMENT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Il ne s'agit pas d'un marché renouvelable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>Calendrier prévisionnel de publication des prochains avis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VI.2) INFORMATIONS SUR LES ÉCHANGES ÉLECTRONIQUES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VI.3) INFORMATIONS COMPLÉMENTAIRES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VI.4) PROCÉDURES DE RECOURS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VI.4.1) Instance chargée des procédures de recours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Tribunal administratif de Mamoudzou, Les Hauts du Jardin du Collège, 97600,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MAMOUDZOU, Courriel : </w:t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 xml:space="preserve">greffe.ta-mayotte@juradm.fr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Adresse internet :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EE"/>
          <w:sz w:val="18"/>
          <w:szCs w:val="18"/>
        </w:rPr>
        <w:t xml:space="preserve">http://mayotte.tribunal-administratif.fr/ 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VI.4.2) Organe chargé des procédures de médiation </w:t>
      </w:r>
      <w:proofErr w:type="gramStart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VI.4.3) Introduction de recours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VI.4.4) Service auprès duquel des renseignements peuvent être obtenus sur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l'introduction de recours :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VI.5) DATE D'ENVOI DU PRÉSENT AVIS</w:t>
      </w:r>
      <w:r w:rsidRPr="00BB4B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4BB6">
        <w:rPr>
          <w:rFonts w:ascii="Times New Roman" w:hAnsi="Times New Roman" w:cs="Times New Roman"/>
          <w:color w:val="000000"/>
          <w:sz w:val="18"/>
          <w:szCs w:val="18"/>
        </w:rPr>
        <w:t>27 Octobre 2022</w:t>
      </w:r>
    </w:p>
    <w:sectPr w:rsidR="00313E49" w:rsidRPr="00BB4BB6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C83"/>
    <w:rsid w:val="00122ABA"/>
    <w:rsid w:val="001A3C83"/>
    <w:rsid w:val="00313E49"/>
    <w:rsid w:val="00BB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A3C83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1A3C83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bruno</cp:lastModifiedBy>
  <cp:revision>2</cp:revision>
  <dcterms:created xsi:type="dcterms:W3CDTF">2022-10-30T16:56:00Z</dcterms:created>
  <dcterms:modified xsi:type="dcterms:W3CDTF">2022-10-30T16:56:00Z</dcterms:modified>
</cp:coreProperties>
</file>